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32" w:rsidRPr="00796332" w:rsidRDefault="00796332" w:rsidP="001B44D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32">
        <w:rPr>
          <w:rFonts w:ascii="Times New Roman" w:hAnsi="Times New Roman" w:cs="Times New Roman"/>
          <w:b/>
          <w:sz w:val="28"/>
          <w:szCs w:val="28"/>
        </w:rPr>
        <w:t xml:space="preserve">Relationship </w:t>
      </w:r>
      <w:proofErr w:type="gramStart"/>
      <w:r w:rsidRPr="00796332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796332">
        <w:rPr>
          <w:rFonts w:ascii="Times New Roman" w:hAnsi="Times New Roman" w:cs="Times New Roman"/>
          <w:b/>
          <w:sz w:val="28"/>
          <w:szCs w:val="28"/>
        </w:rPr>
        <w:t xml:space="preserve"> the Treasury Function and the Operational Function</w:t>
      </w:r>
    </w:p>
    <w:p w:rsidR="00796332" w:rsidRPr="00796332" w:rsidRDefault="00796332" w:rsidP="001B44D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32">
        <w:rPr>
          <w:rFonts w:ascii="Times New Roman" w:hAnsi="Times New Roman" w:cs="Times New Roman"/>
          <w:b/>
          <w:sz w:val="28"/>
          <w:szCs w:val="28"/>
        </w:rPr>
        <w:t>Of</w:t>
      </w:r>
    </w:p>
    <w:p w:rsidR="00796332" w:rsidRDefault="00796332" w:rsidP="001B44D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332">
        <w:rPr>
          <w:rFonts w:ascii="Times New Roman" w:hAnsi="Times New Roman" w:cs="Times New Roman"/>
          <w:b/>
          <w:sz w:val="28"/>
          <w:szCs w:val="28"/>
        </w:rPr>
        <w:t>Palli</w:t>
      </w:r>
      <w:proofErr w:type="spellEnd"/>
      <w:r w:rsidRPr="00796332">
        <w:rPr>
          <w:rFonts w:ascii="Times New Roman" w:hAnsi="Times New Roman" w:cs="Times New Roman"/>
          <w:b/>
          <w:sz w:val="28"/>
          <w:szCs w:val="28"/>
        </w:rPr>
        <w:t xml:space="preserve"> Karma-</w:t>
      </w:r>
      <w:proofErr w:type="spellStart"/>
      <w:r w:rsidRPr="00796332">
        <w:rPr>
          <w:rFonts w:ascii="Times New Roman" w:hAnsi="Times New Roman" w:cs="Times New Roman"/>
          <w:b/>
          <w:sz w:val="28"/>
          <w:szCs w:val="28"/>
        </w:rPr>
        <w:t>Sahayak</w:t>
      </w:r>
      <w:proofErr w:type="spellEnd"/>
      <w:r w:rsidRPr="00796332">
        <w:rPr>
          <w:rFonts w:ascii="Times New Roman" w:hAnsi="Times New Roman" w:cs="Times New Roman"/>
          <w:b/>
          <w:sz w:val="28"/>
          <w:szCs w:val="28"/>
        </w:rPr>
        <w:t xml:space="preserve"> Foundation (PKSF)</w:t>
      </w:r>
    </w:p>
    <w:p w:rsidR="005A0AC3" w:rsidRPr="00796332" w:rsidRDefault="005A0AC3" w:rsidP="001B44D1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12" w:rsidRDefault="00DA72B0" w:rsidP="001B44D1">
      <w:pPr>
        <w:jc w:val="both"/>
        <w:rPr>
          <w:rFonts w:ascii="Times New Roman" w:hAnsi="Times New Roman" w:cs="Times New Roman"/>
          <w:sz w:val="24"/>
          <w:szCs w:val="24"/>
        </w:rPr>
      </w:pPr>
      <w:r w:rsidRPr="00DA72B0">
        <w:rPr>
          <w:rFonts w:ascii="Times New Roman" w:hAnsi="Times New Roman" w:cs="Times New Roman"/>
          <w:sz w:val="24"/>
          <w:szCs w:val="24"/>
        </w:rPr>
        <w:t>The general mission of the treasury department</w:t>
      </w:r>
      <w:r w:rsidR="00621892">
        <w:rPr>
          <w:rFonts w:ascii="Times New Roman" w:hAnsi="Times New Roman" w:cs="Times New Roman"/>
          <w:sz w:val="24"/>
          <w:szCs w:val="24"/>
        </w:rPr>
        <w:t xml:space="preserve"> is to manage the liquidity of the foundation</w:t>
      </w:r>
      <w:r w:rsidRPr="00DA72B0">
        <w:rPr>
          <w:rFonts w:ascii="Times New Roman" w:hAnsi="Times New Roman" w:cs="Times New Roman"/>
          <w:sz w:val="24"/>
          <w:szCs w:val="24"/>
        </w:rPr>
        <w:t xml:space="preserve">. This means all current and projected cash inflows and outflows must be monitored to ensure that there is sufficient cash to fund </w:t>
      </w:r>
      <w:r w:rsidR="00621892">
        <w:rPr>
          <w:rFonts w:ascii="Times New Roman" w:hAnsi="Times New Roman" w:cs="Times New Roman"/>
          <w:sz w:val="24"/>
          <w:szCs w:val="24"/>
        </w:rPr>
        <w:t>foundation</w:t>
      </w:r>
      <w:r w:rsidRPr="00DA72B0">
        <w:rPr>
          <w:rFonts w:ascii="Times New Roman" w:hAnsi="Times New Roman" w:cs="Times New Roman"/>
          <w:sz w:val="24"/>
          <w:szCs w:val="24"/>
        </w:rPr>
        <w:t xml:space="preserve"> operations, as well as to ensure that excess cash is properly invested. </w:t>
      </w:r>
    </w:p>
    <w:p w:rsidR="00A75EA1" w:rsidRDefault="00A75EA1" w:rsidP="001B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meet the goals </w:t>
      </w:r>
      <w:r w:rsidRPr="00A75EA1">
        <w:rPr>
          <w:rFonts w:ascii="Times New Roman" w:hAnsi="Times New Roman" w:cs="Times New Roman"/>
          <w:sz w:val="24"/>
          <w:szCs w:val="24"/>
        </w:rPr>
        <w:t xml:space="preserve">Treasury </w:t>
      </w:r>
      <w:r w:rsidR="00621892">
        <w:rPr>
          <w:rFonts w:ascii="Times New Roman" w:hAnsi="Times New Roman" w:cs="Times New Roman"/>
          <w:sz w:val="24"/>
          <w:szCs w:val="24"/>
        </w:rPr>
        <w:t>department</w:t>
      </w:r>
      <w:r w:rsidRPr="00A75EA1">
        <w:rPr>
          <w:rFonts w:ascii="Times New Roman" w:hAnsi="Times New Roman" w:cs="Times New Roman"/>
          <w:sz w:val="24"/>
          <w:szCs w:val="24"/>
        </w:rPr>
        <w:t xml:space="preserve"> undertakes a range of complex and skilled tasks; liaises with internal and external stakeholders and plays a key role in the smooth functioning and value creation of </w:t>
      </w:r>
      <w:r w:rsidR="00621892">
        <w:rPr>
          <w:rFonts w:ascii="Times New Roman" w:hAnsi="Times New Roman" w:cs="Times New Roman"/>
          <w:sz w:val="24"/>
          <w:szCs w:val="24"/>
        </w:rPr>
        <w:t>the organization</w:t>
      </w:r>
      <w:r w:rsidRPr="00A75EA1">
        <w:rPr>
          <w:rFonts w:ascii="Times New Roman" w:hAnsi="Times New Roman" w:cs="Times New Roman"/>
          <w:sz w:val="24"/>
          <w:szCs w:val="24"/>
        </w:rPr>
        <w:t>.</w:t>
      </w:r>
    </w:p>
    <w:p w:rsidR="00A75EA1" w:rsidRDefault="00A75EA1" w:rsidP="001B4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relationship between Treasury function and Operational function of the foundation can be broken down in following interlinked categories.</w:t>
      </w:r>
    </w:p>
    <w:p w:rsidR="00E93F22" w:rsidRDefault="00832543" w:rsidP="001B44D1">
      <w:pPr>
        <w:pStyle w:val="ListParagraph"/>
        <w:numPr>
          <w:ilvl w:val="0"/>
          <w:numId w:val="1"/>
        </w:numPr>
        <w:shd w:val="clear" w:color="auto" w:fill="FFFFFF"/>
        <w:spacing w:before="335" w:after="84" w:line="240" w:lineRule="auto"/>
        <w:ind w:left="0" w:hanging="18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E946A0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Financial planning</w:t>
      </w:r>
    </w:p>
    <w:p w:rsidR="00E93F22" w:rsidRPr="00E93F22" w:rsidRDefault="00E93F22" w:rsidP="001B44D1">
      <w:pPr>
        <w:pStyle w:val="ListParagraph"/>
        <w:shd w:val="clear" w:color="auto" w:fill="FFFFFF"/>
        <w:spacing w:before="335" w:after="84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10"/>
          <w:szCs w:val="10"/>
        </w:rPr>
      </w:pPr>
    </w:p>
    <w:p w:rsidR="00832543" w:rsidRPr="00E93F22" w:rsidRDefault="00832543" w:rsidP="001B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93F22">
        <w:rPr>
          <w:rFonts w:ascii="Times New Roman" w:hAnsi="Times New Roman" w:cs="Times New Roman"/>
          <w:sz w:val="24"/>
          <w:szCs w:val="24"/>
        </w:rPr>
        <w:t xml:space="preserve">Financial Planning is an integral part of treasury management for proper </w:t>
      </w:r>
      <w:r w:rsidR="007B3E59">
        <w:rPr>
          <w:rFonts w:ascii="Times New Roman" w:hAnsi="Times New Roman" w:cs="Times New Roman"/>
          <w:sz w:val="24"/>
          <w:szCs w:val="24"/>
        </w:rPr>
        <w:t xml:space="preserve">cash flow </w:t>
      </w:r>
      <w:r w:rsidRPr="00E93F22">
        <w:rPr>
          <w:rFonts w:ascii="Times New Roman" w:hAnsi="Times New Roman" w:cs="Times New Roman"/>
          <w:sz w:val="24"/>
          <w:szCs w:val="24"/>
        </w:rPr>
        <w:t>management</w:t>
      </w:r>
      <w:r w:rsidR="00E946A0" w:rsidRPr="00E93F22">
        <w:rPr>
          <w:rFonts w:ascii="Times New Roman" w:hAnsi="Times New Roman" w:cs="Times New Roman"/>
          <w:sz w:val="24"/>
          <w:szCs w:val="24"/>
        </w:rPr>
        <w:t>, risk appraisal, tax planning and investment appraisal that ensure sound financial and risk management and smooth operation of the organization.</w:t>
      </w:r>
      <w:r w:rsidR="00E93F22" w:rsidRPr="00E93F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Grid-Accent11"/>
        <w:tblW w:w="9558" w:type="dxa"/>
        <w:tblLook w:val="04A0"/>
      </w:tblPr>
      <w:tblGrid>
        <w:gridCol w:w="4630"/>
        <w:gridCol w:w="4928"/>
      </w:tblGrid>
      <w:tr w:rsidR="00A75EA1" w:rsidRPr="00A75EA1" w:rsidTr="007B3E59">
        <w:trPr>
          <w:cnfStyle w:val="100000000000"/>
        </w:trPr>
        <w:tc>
          <w:tcPr>
            <w:cnfStyle w:val="001000000000"/>
            <w:tcW w:w="0" w:type="auto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4197">
              <w:rPr>
                <w:rFonts w:ascii="Times New Roman" w:eastAsia="Times New Roman" w:hAnsi="Times New Roman" w:cs="Times New Roman"/>
                <w:color w:val="000000"/>
              </w:rPr>
              <w:t>Key activities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894197">
              <w:rPr>
                <w:rFonts w:ascii="Times New Roman" w:eastAsia="Times New Roman" w:hAnsi="Times New Roman" w:cs="Times New Roman"/>
                <w:color w:val="000000"/>
              </w:rPr>
              <w:t>Key benefits</w:t>
            </w:r>
          </w:p>
        </w:tc>
      </w:tr>
      <w:tr w:rsidR="00A75EA1" w:rsidRPr="00A75EA1" w:rsidTr="007B3E59">
        <w:trPr>
          <w:cnfStyle w:val="00000010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Cash flow forecasting   </w:t>
            </w:r>
          </w:p>
        </w:tc>
        <w:tc>
          <w:tcPr>
            <w:tcW w:w="4928" w:type="dxa"/>
            <w:hideMark/>
          </w:tcPr>
          <w:p w:rsidR="00A75EA1" w:rsidRPr="00A75EA1" w:rsidRDefault="00AD4882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Sound </w:t>
            </w:r>
            <w:r w:rsidR="00A75EA1"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financial management</w:t>
            </w:r>
          </w:p>
        </w:tc>
      </w:tr>
      <w:tr w:rsidR="00A75EA1" w:rsidRPr="00A75EA1" w:rsidTr="007B3E59">
        <w:trPr>
          <w:cnfStyle w:val="00000001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Risk forecasting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Risks are identified early and mitigated</w:t>
            </w:r>
          </w:p>
        </w:tc>
      </w:tr>
      <w:tr w:rsidR="00A75EA1" w:rsidRPr="00A75EA1" w:rsidTr="007B3E59">
        <w:trPr>
          <w:cnfStyle w:val="00000010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Investment appraisal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are directed to the best opportunities</w:t>
            </w:r>
          </w:p>
        </w:tc>
      </w:tr>
      <w:tr w:rsidR="00A75EA1" w:rsidRPr="00A75EA1" w:rsidTr="007B3E59">
        <w:trPr>
          <w:cnfStyle w:val="00000001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Tax planning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Clear and quantifiable approach to the future</w:t>
            </w:r>
          </w:p>
        </w:tc>
      </w:tr>
      <w:tr w:rsidR="00A75EA1" w:rsidRPr="00A75EA1" w:rsidTr="007B3E59">
        <w:trPr>
          <w:cnfStyle w:val="00000010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Pensions planning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Teste</w:t>
            </w:r>
            <w:r w:rsidR="007B3E59"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contingencies in the event of </w:t>
            </w: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exceptions</w:t>
            </w:r>
          </w:p>
        </w:tc>
      </w:tr>
      <w:tr w:rsidR="00A75EA1" w:rsidRPr="00A75EA1" w:rsidTr="007B3E59">
        <w:trPr>
          <w:cnfStyle w:val="00000001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Co-operate with Board on strategic development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risk management</w:t>
            </w:r>
          </w:p>
        </w:tc>
      </w:tr>
      <w:tr w:rsidR="00A75EA1" w:rsidRPr="00A75EA1" w:rsidTr="007B3E59">
        <w:trPr>
          <w:cnfStyle w:val="00000010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Choose and operate Treasury systems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Transaction costs minimized</w:t>
            </w:r>
          </w:p>
        </w:tc>
      </w:tr>
      <w:tr w:rsidR="00A75EA1" w:rsidRPr="00A75EA1" w:rsidTr="007B3E59">
        <w:trPr>
          <w:cnfStyle w:val="000000010000"/>
        </w:trPr>
        <w:tc>
          <w:tcPr>
            <w:cnfStyle w:val="001000000000"/>
            <w:tcW w:w="4630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Negotiate, analyze and manage the fee’s and margins of service providers</w:t>
            </w:r>
          </w:p>
        </w:tc>
        <w:tc>
          <w:tcPr>
            <w:tcW w:w="4928" w:type="dxa"/>
            <w:hideMark/>
          </w:tcPr>
          <w:p w:rsidR="00A75EA1" w:rsidRPr="00A75EA1" w:rsidRDefault="00A75EA1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A1">
              <w:rPr>
                <w:rFonts w:ascii="Times New Roman" w:eastAsia="Times New Roman" w:hAnsi="Times New Roman" w:cs="Times New Roman"/>
                <w:sz w:val="24"/>
                <w:szCs w:val="24"/>
              </w:rPr>
              <w:t>Smooth operations</w:t>
            </w:r>
          </w:p>
        </w:tc>
      </w:tr>
    </w:tbl>
    <w:p w:rsidR="00A75EA1" w:rsidRDefault="00A75EA1" w:rsidP="001B4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97" w:rsidRPr="00894197" w:rsidRDefault="007B3E59" w:rsidP="001B44D1">
      <w:pPr>
        <w:pStyle w:val="ListParagraph"/>
        <w:numPr>
          <w:ilvl w:val="0"/>
          <w:numId w:val="1"/>
        </w:numPr>
        <w:tabs>
          <w:tab w:val="left" w:pos="90"/>
        </w:tabs>
        <w:ind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59">
        <w:rPr>
          <w:rFonts w:ascii="Times New Roman" w:hAnsi="Times New Roman" w:cs="Times New Roman"/>
          <w:b/>
          <w:bCs/>
          <w:sz w:val="24"/>
          <w:szCs w:val="24"/>
        </w:rPr>
        <w:t>Cash and Liquidity Management</w:t>
      </w:r>
      <w:r w:rsidRPr="007B3E59">
        <w:rPr>
          <w:rFonts w:ascii="Arial" w:eastAsia="Times New Roman" w:hAnsi="Arial" w:cs="Arial"/>
          <w:b/>
          <w:bCs/>
          <w:color w:val="808080"/>
          <w:spacing w:val="-17"/>
          <w:sz w:val="40"/>
          <w:szCs w:val="40"/>
        </w:rPr>
        <w:t xml:space="preserve"> </w:t>
      </w:r>
    </w:p>
    <w:p w:rsidR="00894197" w:rsidRPr="00894197" w:rsidRDefault="00894197" w:rsidP="001B44D1">
      <w:pPr>
        <w:tabs>
          <w:tab w:val="left" w:pos="90"/>
        </w:tabs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197">
        <w:rPr>
          <w:rFonts w:ascii="Times New Roman" w:hAnsi="Times New Roman" w:cs="Times New Roman"/>
          <w:bCs/>
          <w:sz w:val="24"/>
          <w:szCs w:val="24"/>
        </w:rPr>
        <w:t>Combining information in the cash forecast and working capital management activities, Treasury staff is able to ensure that sufficient cash is available for operational needs.</w:t>
      </w:r>
    </w:p>
    <w:tbl>
      <w:tblPr>
        <w:tblStyle w:val="LightGrid-Accent11"/>
        <w:tblW w:w="0" w:type="auto"/>
        <w:tblLook w:val="04A0"/>
      </w:tblPr>
      <w:tblGrid>
        <w:gridCol w:w="4642"/>
        <w:gridCol w:w="4603"/>
      </w:tblGrid>
      <w:tr w:rsidR="007B3E59" w:rsidRPr="007B3E59" w:rsidTr="007B3E59">
        <w:trPr>
          <w:cnfStyle w:val="100000000000"/>
        </w:trPr>
        <w:tc>
          <w:tcPr>
            <w:cnfStyle w:val="001000000000"/>
            <w:tcW w:w="0" w:type="auto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94197">
              <w:rPr>
                <w:rFonts w:ascii="Times New Roman" w:eastAsia="Times New Roman" w:hAnsi="Times New Roman" w:cs="Times New Roman"/>
              </w:rPr>
              <w:t>Key activities</w:t>
            </w:r>
          </w:p>
        </w:tc>
        <w:tc>
          <w:tcPr>
            <w:tcW w:w="0" w:type="auto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94197">
              <w:rPr>
                <w:rFonts w:ascii="Times New Roman" w:eastAsia="Times New Roman" w:hAnsi="Times New Roman" w:cs="Times New Roman"/>
              </w:rPr>
              <w:t>Key benefits</w:t>
            </w:r>
          </w:p>
        </w:tc>
      </w:tr>
      <w:tr w:rsidR="007B3E59" w:rsidRPr="007B3E59" w:rsidTr="007B3E59">
        <w:trPr>
          <w:cnfStyle w:val="000000100000"/>
        </w:trPr>
        <w:tc>
          <w:tcPr>
            <w:cnfStyle w:val="001000000000"/>
            <w:tcW w:w="5945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8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3E59" w:rsidRPr="007B3E59" w:rsidTr="007B3E59">
        <w:trPr>
          <w:cnfStyle w:val="000000010000"/>
        </w:trPr>
        <w:tc>
          <w:tcPr>
            <w:cnfStyle w:val="001000000000"/>
            <w:tcW w:w="5945" w:type="dxa"/>
            <w:hideMark/>
          </w:tcPr>
          <w:p w:rsidR="007B3E59" w:rsidRPr="007B3E59" w:rsidRDefault="00894197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Work with the operation department</w:t>
            </w:r>
            <w:r w:rsidR="007B3E59" w:rsidRPr="007B3E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to optimize commercial cash flows</w:t>
            </w:r>
          </w:p>
        </w:tc>
        <w:tc>
          <w:tcPr>
            <w:tcW w:w="5928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sz w:val="24"/>
                <w:szCs w:val="24"/>
              </w:rPr>
              <w:t>Optimize interest expense</w:t>
            </w:r>
          </w:p>
        </w:tc>
      </w:tr>
      <w:tr w:rsidR="007B3E59" w:rsidRPr="007B3E59" w:rsidTr="007B3E59">
        <w:trPr>
          <w:cnfStyle w:val="000000100000"/>
        </w:trPr>
        <w:tc>
          <w:tcPr>
            <w:cnfStyle w:val="001000000000"/>
            <w:tcW w:w="5945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Work with the business to optimize working capital      </w:t>
            </w:r>
          </w:p>
        </w:tc>
        <w:tc>
          <w:tcPr>
            <w:tcW w:w="5928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sz w:val="24"/>
                <w:szCs w:val="24"/>
              </w:rPr>
              <w:t>Optimize tax expense</w:t>
            </w:r>
          </w:p>
        </w:tc>
      </w:tr>
      <w:tr w:rsidR="007B3E59" w:rsidRPr="007B3E59" w:rsidTr="007B3E59">
        <w:trPr>
          <w:cnfStyle w:val="000000010000"/>
        </w:trPr>
        <w:tc>
          <w:tcPr>
            <w:cnfStyle w:val="001000000000"/>
            <w:tcW w:w="5945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Minimize idle cash through netting and cash concentration</w:t>
            </w:r>
          </w:p>
        </w:tc>
        <w:tc>
          <w:tcPr>
            <w:tcW w:w="5928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sz w:val="24"/>
                <w:szCs w:val="24"/>
              </w:rPr>
              <w:t>Avoid future liquidity problems</w:t>
            </w:r>
          </w:p>
        </w:tc>
      </w:tr>
      <w:tr w:rsidR="007B3E59" w:rsidRPr="007B3E59" w:rsidTr="007B3E59">
        <w:trPr>
          <w:cnfStyle w:val="000000100000"/>
        </w:trPr>
        <w:tc>
          <w:tcPr>
            <w:cnfStyle w:val="001000000000"/>
            <w:tcW w:w="5945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Confirmation and reconciliation of receipts</w:t>
            </w:r>
          </w:p>
        </w:tc>
        <w:tc>
          <w:tcPr>
            <w:tcW w:w="5928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sz w:val="24"/>
                <w:szCs w:val="24"/>
              </w:rPr>
              <w:t>Create ‘cash is king’ culture</w:t>
            </w:r>
          </w:p>
        </w:tc>
      </w:tr>
      <w:tr w:rsidR="007B3E59" w:rsidRPr="007B3E59" w:rsidTr="007B3E59">
        <w:trPr>
          <w:cnfStyle w:val="000000010000"/>
        </w:trPr>
        <w:tc>
          <w:tcPr>
            <w:cnfStyle w:val="001000000000"/>
            <w:tcW w:w="5945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Timely disbursement of payments</w:t>
            </w:r>
          </w:p>
        </w:tc>
        <w:tc>
          <w:tcPr>
            <w:tcW w:w="5928" w:type="dxa"/>
            <w:hideMark/>
          </w:tcPr>
          <w:p w:rsidR="007B3E59" w:rsidRPr="007B3E59" w:rsidRDefault="007B3E59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59">
              <w:rPr>
                <w:rFonts w:ascii="Times New Roman" w:eastAsia="Times New Roman" w:hAnsi="Times New Roman" w:cs="Times New Roman"/>
                <w:sz w:val="24"/>
                <w:szCs w:val="24"/>
              </w:rPr>
              <w:t>Smooth operations and supplier relationships</w:t>
            </w:r>
          </w:p>
        </w:tc>
      </w:tr>
    </w:tbl>
    <w:p w:rsidR="00DB3A48" w:rsidRDefault="00894197" w:rsidP="001B44D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335" w:after="84" w:line="240" w:lineRule="auto"/>
        <w:ind w:hanging="99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Financial Risk Management</w:t>
      </w:r>
    </w:p>
    <w:p w:rsidR="00894197" w:rsidRDefault="00894197" w:rsidP="001B44D1">
      <w:pPr>
        <w:shd w:val="clear" w:color="auto" w:fill="FFFFFF"/>
        <w:tabs>
          <w:tab w:val="left" w:pos="0"/>
        </w:tabs>
        <w:spacing w:before="335" w:after="84" w:line="240" w:lineRule="auto"/>
        <w:ind w:left="-270"/>
        <w:jc w:val="both"/>
        <w:outlineLvl w:val="1"/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</w:pPr>
      <w:r w:rsidRPr="00DB3A48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>Treasury staffs thorough different hedging strategies and sound management implement risk mitigation strategy of the foundation</w:t>
      </w:r>
    </w:p>
    <w:tbl>
      <w:tblPr>
        <w:tblStyle w:val="LightGrid-Accent11"/>
        <w:tblpPr w:leftFromText="180" w:rightFromText="180" w:vertAnchor="text" w:horzAnchor="margin" w:tblpY="64"/>
        <w:tblW w:w="0" w:type="auto"/>
        <w:tblLook w:val="04A0"/>
      </w:tblPr>
      <w:tblGrid>
        <w:gridCol w:w="4759"/>
        <w:gridCol w:w="4486"/>
      </w:tblGrid>
      <w:tr w:rsidR="007F6ED5" w:rsidRPr="00894197" w:rsidTr="007F6ED5">
        <w:trPr>
          <w:cnfStyle w:val="100000000000"/>
        </w:trPr>
        <w:tc>
          <w:tcPr>
            <w:cnfStyle w:val="001000000000"/>
            <w:tcW w:w="0" w:type="auto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94197">
              <w:rPr>
                <w:rFonts w:ascii="Times New Roman" w:eastAsia="Times New Roman" w:hAnsi="Times New Roman" w:cs="Times New Roman"/>
              </w:rPr>
              <w:t>Key activities</w:t>
            </w:r>
          </w:p>
        </w:tc>
        <w:tc>
          <w:tcPr>
            <w:tcW w:w="0" w:type="auto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894197">
              <w:rPr>
                <w:rFonts w:ascii="Times New Roman" w:eastAsia="Times New Roman" w:hAnsi="Times New Roman" w:cs="Times New Roman"/>
              </w:rPr>
              <w:t>Key benefits</w:t>
            </w:r>
          </w:p>
        </w:tc>
      </w:tr>
      <w:tr w:rsidR="007F6ED5" w:rsidRPr="00894197" w:rsidTr="007F6ED5">
        <w:trPr>
          <w:cnfStyle w:val="00000010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D5" w:rsidRPr="00894197" w:rsidTr="007F6ED5">
        <w:trPr>
          <w:cnfStyle w:val="00000001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Interest Rate risk management</w:t>
            </w: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>Minimize external hedging requirement</w:t>
            </w:r>
          </w:p>
        </w:tc>
      </w:tr>
      <w:tr w:rsidR="007F6ED5" w:rsidRPr="00894197" w:rsidTr="007F6ED5">
        <w:trPr>
          <w:cnfStyle w:val="00000010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FX risk management</w:t>
            </w: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>Minimize impact of external risk on P&amp;L and Balance Sheet</w:t>
            </w:r>
          </w:p>
        </w:tc>
      </w:tr>
      <w:tr w:rsidR="007F6ED5" w:rsidRPr="00894197" w:rsidTr="007F6ED5">
        <w:trPr>
          <w:cnfStyle w:val="00000001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D5" w:rsidRPr="00894197" w:rsidTr="007F6ED5">
        <w:trPr>
          <w:cnfStyle w:val="00000010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Counterparty risk management              </w:t>
            </w: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capital at the right time, price and conditions</w:t>
            </w:r>
          </w:p>
        </w:tc>
      </w:tr>
      <w:tr w:rsidR="007F6ED5" w:rsidRPr="00894197" w:rsidTr="007F6ED5">
        <w:trPr>
          <w:cnfStyle w:val="00000001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Credit risk management</w:t>
            </w: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>Improve asset quality</w:t>
            </w:r>
          </w:p>
        </w:tc>
      </w:tr>
      <w:tr w:rsidR="007F6ED5" w:rsidRPr="00894197" w:rsidTr="007F6ED5">
        <w:trPr>
          <w:cnfStyle w:val="00000010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Liquidity risk management  </w:t>
            </w: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>Create ‘risk aware’ culture</w:t>
            </w:r>
          </w:p>
        </w:tc>
      </w:tr>
      <w:tr w:rsidR="007F6ED5" w:rsidRPr="00894197" w:rsidTr="007F6ED5">
        <w:trPr>
          <w:cnfStyle w:val="00000001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Pension risk management</w:t>
            </w: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>Certainty facilitates better decisions</w:t>
            </w:r>
          </w:p>
        </w:tc>
      </w:tr>
      <w:tr w:rsidR="007F6ED5" w:rsidRPr="00894197" w:rsidTr="007F6ED5">
        <w:trPr>
          <w:cnfStyle w:val="000000100000"/>
        </w:trPr>
        <w:tc>
          <w:tcPr>
            <w:cnfStyle w:val="001000000000"/>
            <w:tcW w:w="4759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Work with the business to de-risk contracts and avoid bad debts</w:t>
            </w:r>
          </w:p>
        </w:tc>
        <w:tc>
          <w:tcPr>
            <w:tcW w:w="4486" w:type="dxa"/>
            <w:hideMark/>
          </w:tcPr>
          <w:p w:rsidR="007F6ED5" w:rsidRPr="00894197" w:rsidRDefault="007F6ED5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7">
              <w:rPr>
                <w:rFonts w:ascii="Times New Roman" w:eastAsia="Times New Roman" w:hAnsi="Times New Roman" w:cs="Times New Roman"/>
                <w:sz w:val="24"/>
                <w:szCs w:val="24"/>
              </w:rPr>
              <w:t>Scenario planning and stress testing avoid surprises</w:t>
            </w:r>
          </w:p>
        </w:tc>
      </w:tr>
    </w:tbl>
    <w:p w:rsidR="00DB3A48" w:rsidRPr="00DB3A48" w:rsidRDefault="00DB3A48" w:rsidP="001B44D1">
      <w:pPr>
        <w:shd w:val="clear" w:color="auto" w:fill="FFFFFF"/>
        <w:tabs>
          <w:tab w:val="left" w:pos="0"/>
        </w:tabs>
        <w:spacing w:before="335" w:after="84" w:line="240" w:lineRule="auto"/>
        <w:ind w:left="-27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4"/>
          <w:szCs w:val="4"/>
        </w:rPr>
      </w:pPr>
    </w:p>
    <w:p w:rsidR="00151366" w:rsidRDefault="00151366" w:rsidP="001B44D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335" w:after="84" w:line="240" w:lineRule="auto"/>
        <w:ind w:left="-90" w:hanging="18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151366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Investment Management</w:t>
      </w:r>
    </w:p>
    <w:p w:rsidR="00151366" w:rsidRPr="00151366" w:rsidRDefault="00151366" w:rsidP="001B44D1">
      <w:pPr>
        <w:pStyle w:val="ListParagraph"/>
        <w:shd w:val="clear" w:color="auto" w:fill="FFFFFF"/>
        <w:tabs>
          <w:tab w:val="left" w:pos="0"/>
        </w:tabs>
        <w:spacing w:before="335" w:after="84" w:line="240" w:lineRule="auto"/>
        <w:ind w:left="-9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8"/>
          <w:szCs w:val="8"/>
        </w:rPr>
      </w:pPr>
    </w:p>
    <w:p w:rsidR="00151366" w:rsidRDefault="00151366" w:rsidP="001B44D1">
      <w:pPr>
        <w:pStyle w:val="ListParagraph"/>
        <w:shd w:val="clear" w:color="auto" w:fill="FFFFFF"/>
        <w:tabs>
          <w:tab w:val="left" w:pos="0"/>
        </w:tabs>
        <w:spacing w:before="335" w:after="84" w:line="240" w:lineRule="auto"/>
        <w:ind w:left="-9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366">
        <w:rPr>
          <w:rFonts w:ascii="Times New Roman" w:hAnsi="Times New Roman" w:cs="Times New Roman"/>
          <w:sz w:val="24"/>
          <w:szCs w:val="24"/>
          <w:shd w:val="clear" w:color="auto" w:fill="FFFFFF"/>
        </w:rPr>
        <w:t>When the forecast shows some excess funds, the treasury staffs are responsible for the proper investment of it. Three primary</w:t>
      </w:r>
      <w:r w:rsidRPr="001513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1513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goals</w:t>
        </w:r>
      </w:hyperlink>
      <w:r w:rsidRPr="001513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1366">
        <w:rPr>
          <w:rFonts w:ascii="Times New Roman" w:hAnsi="Times New Roman" w:cs="Times New Roman"/>
          <w:sz w:val="24"/>
          <w:szCs w:val="24"/>
          <w:shd w:val="clear" w:color="auto" w:fill="FFFFFF"/>
        </w:rPr>
        <w:t>of the role are: (a) maximum return on investment; (b) matching the maturity dates of investments with a company’s projected cash needs; and most importantly is (c) not putting funds at risk.</w:t>
      </w:r>
    </w:p>
    <w:p w:rsidR="00151366" w:rsidRPr="00151366" w:rsidRDefault="00151366" w:rsidP="001B44D1">
      <w:pPr>
        <w:pStyle w:val="ListParagraph"/>
        <w:shd w:val="clear" w:color="auto" w:fill="FFFFFF"/>
        <w:tabs>
          <w:tab w:val="left" w:pos="0"/>
        </w:tabs>
        <w:spacing w:before="335" w:after="84" w:line="240" w:lineRule="auto"/>
        <w:ind w:left="-90"/>
        <w:jc w:val="both"/>
        <w:outlineLvl w:val="1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tbl>
      <w:tblPr>
        <w:tblStyle w:val="LightGrid-Accent11"/>
        <w:tblW w:w="0" w:type="auto"/>
        <w:tblLook w:val="04A0"/>
      </w:tblPr>
      <w:tblGrid>
        <w:gridCol w:w="4628"/>
        <w:gridCol w:w="4617"/>
      </w:tblGrid>
      <w:tr w:rsidR="00151366" w:rsidRPr="00151366" w:rsidTr="00151366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Key activities</w:t>
            </w:r>
          </w:p>
        </w:tc>
        <w:tc>
          <w:tcPr>
            <w:tcW w:w="0" w:type="auto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Key benefits</w:t>
            </w:r>
          </w:p>
        </w:tc>
      </w:tr>
      <w:tr w:rsidR="00151366" w:rsidRPr="00151366" w:rsidTr="003D56DD">
        <w:trPr>
          <w:cnfStyle w:val="00000010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Optimization of capital structure</w:t>
            </w: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Optimization of Weighted Average Cost of Capital  (WACC)</w:t>
            </w:r>
          </w:p>
        </w:tc>
      </w:tr>
      <w:tr w:rsidR="00151366" w:rsidRPr="00151366" w:rsidTr="003D56DD">
        <w:trPr>
          <w:cnfStyle w:val="00000001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Manage short, medium and long-term investments</w:t>
            </w: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Maximize yield on assets</w:t>
            </w:r>
          </w:p>
        </w:tc>
      </w:tr>
      <w:tr w:rsidR="00151366" w:rsidRPr="00151366" w:rsidTr="003D56DD">
        <w:trPr>
          <w:cnfStyle w:val="00000010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Ensure adequate liquidity to support the business</w:t>
            </w: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Minimize interest expense</w:t>
            </w:r>
          </w:p>
        </w:tc>
      </w:tr>
      <w:tr w:rsidR="00151366" w:rsidRPr="00151366" w:rsidTr="003D56DD">
        <w:trPr>
          <w:cnfStyle w:val="00000001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Ensure adequate liquidity  to meet obligations as they fall due</w:t>
            </w: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capital at the right time, price and conditions</w:t>
            </w:r>
          </w:p>
        </w:tc>
      </w:tr>
      <w:tr w:rsidR="00151366" w:rsidRPr="00151366" w:rsidTr="003D56DD">
        <w:trPr>
          <w:cnfStyle w:val="00000010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366" w:rsidRPr="00151366" w:rsidTr="003D56DD">
        <w:trPr>
          <w:cnfStyle w:val="00000001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Diversify capital sources, partners and maturities          </w:t>
            </w: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Ensure good credit ratings</w:t>
            </w:r>
          </w:p>
        </w:tc>
      </w:tr>
      <w:tr w:rsidR="00151366" w:rsidRPr="00151366" w:rsidTr="003D56DD">
        <w:trPr>
          <w:cnfStyle w:val="00000010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Portfolio management of debt, derivatives and investments</w:t>
            </w: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>Ensure limits accurately reflected the borrowing requirement (thus minimizing commitment fees)</w:t>
            </w:r>
          </w:p>
        </w:tc>
      </w:tr>
      <w:tr w:rsidR="00151366" w:rsidRPr="00151366" w:rsidTr="003D56DD">
        <w:trPr>
          <w:cnfStyle w:val="000000010000"/>
        </w:trPr>
        <w:tc>
          <w:tcPr>
            <w:cnfStyle w:val="001000000000"/>
            <w:tcW w:w="4628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Ensure contractual terms and covenants do not constrain the business </w:t>
            </w:r>
          </w:p>
        </w:tc>
        <w:tc>
          <w:tcPr>
            <w:tcW w:w="4617" w:type="dxa"/>
            <w:hideMark/>
          </w:tcPr>
          <w:p w:rsidR="00151366" w:rsidRPr="00151366" w:rsidRDefault="00151366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Ensure hedging matches the funding profile </w:t>
            </w:r>
          </w:p>
        </w:tc>
      </w:tr>
    </w:tbl>
    <w:p w:rsidR="00343087" w:rsidRDefault="00343087" w:rsidP="001B44D1">
      <w:pPr>
        <w:pStyle w:val="ListParagraph"/>
        <w:shd w:val="clear" w:color="auto" w:fill="FFFFFF"/>
        <w:spacing w:before="335" w:after="84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</w:p>
    <w:p w:rsidR="00343087" w:rsidRDefault="00343087" w:rsidP="001B44D1">
      <w:pPr>
        <w:pStyle w:val="ListParagraph"/>
        <w:shd w:val="clear" w:color="auto" w:fill="FFFFFF"/>
        <w:spacing w:before="335" w:after="84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</w:p>
    <w:p w:rsidR="00343087" w:rsidRDefault="00343087" w:rsidP="001B44D1">
      <w:pPr>
        <w:pStyle w:val="ListParagraph"/>
        <w:shd w:val="clear" w:color="auto" w:fill="FFFFFF"/>
        <w:spacing w:before="335" w:after="84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</w:p>
    <w:p w:rsidR="00343087" w:rsidRDefault="00343087" w:rsidP="001B44D1">
      <w:pPr>
        <w:pStyle w:val="ListParagraph"/>
        <w:shd w:val="clear" w:color="auto" w:fill="FFFFFF"/>
        <w:spacing w:before="335" w:after="84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</w:p>
    <w:p w:rsidR="00343087" w:rsidRPr="00343087" w:rsidRDefault="003D56DD" w:rsidP="001B44D1">
      <w:pPr>
        <w:pStyle w:val="ListParagraph"/>
        <w:numPr>
          <w:ilvl w:val="0"/>
          <w:numId w:val="1"/>
        </w:numPr>
        <w:shd w:val="clear" w:color="auto" w:fill="FFFFFF"/>
        <w:spacing w:before="335" w:after="84" w:line="240" w:lineRule="auto"/>
        <w:ind w:left="0" w:hanging="18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3D56DD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Corporate Governance</w:t>
      </w:r>
    </w:p>
    <w:p w:rsidR="003D56DD" w:rsidRPr="0077761C" w:rsidRDefault="003D56DD" w:rsidP="001B44D1">
      <w:pPr>
        <w:pStyle w:val="ListParagraph"/>
        <w:shd w:val="clear" w:color="auto" w:fill="FFFFFF"/>
        <w:spacing w:before="335" w:after="84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pacing w:val="-17"/>
          <w:sz w:val="10"/>
          <w:szCs w:val="10"/>
        </w:rPr>
      </w:pPr>
    </w:p>
    <w:tbl>
      <w:tblPr>
        <w:tblStyle w:val="LightGrid-Accent11"/>
        <w:tblW w:w="0" w:type="auto"/>
        <w:tblLook w:val="04A0"/>
      </w:tblPr>
      <w:tblGrid>
        <w:gridCol w:w="4611"/>
        <w:gridCol w:w="4634"/>
      </w:tblGrid>
      <w:tr w:rsidR="003D56DD" w:rsidRPr="003D56DD" w:rsidTr="003D56DD">
        <w:trPr>
          <w:cnfStyle w:val="100000000000"/>
        </w:trPr>
        <w:tc>
          <w:tcPr>
            <w:cnfStyle w:val="001000000000"/>
            <w:tcW w:w="0" w:type="auto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sz w:val="24"/>
                <w:szCs w:val="24"/>
              </w:rPr>
              <w:t>Key activities</w:t>
            </w:r>
          </w:p>
        </w:tc>
        <w:tc>
          <w:tcPr>
            <w:tcW w:w="0" w:type="auto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sz w:val="24"/>
                <w:szCs w:val="24"/>
              </w:rPr>
              <w:t>Key benefits</w:t>
            </w:r>
          </w:p>
        </w:tc>
      </w:tr>
      <w:tr w:rsidR="003D56DD" w:rsidRPr="003D56DD" w:rsidTr="003D56DD">
        <w:trPr>
          <w:cnfStyle w:val="000000100000"/>
        </w:trPr>
        <w:tc>
          <w:tcPr>
            <w:cnfStyle w:val="001000000000"/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Ensure accurate valuation of financial instruments</w:t>
            </w:r>
          </w:p>
        </w:tc>
        <w:tc>
          <w:tcPr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sz w:val="24"/>
                <w:szCs w:val="24"/>
              </w:rPr>
              <w:t>Ensure the financial profile represents and true and fair  view</w:t>
            </w:r>
          </w:p>
        </w:tc>
      </w:tr>
      <w:tr w:rsidR="003D56DD" w:rsidRPr="003D56DD" w:rsidTr="003D56DD">
        <w:trPr>
          <w:cnfStyle w:val="000000010000"/>
        </w:trPr>
        <w:tc>
          <w:tcPr>
            <w:cnfStyle w:val="001000000000"/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Ensure accurate accounting of Treasury transactions</w:t>
            </w:r>
          </w:p>
        </w:tc>
        <w:tc>
          <w:tcPr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sz w:val="24"/>
                <w:szCs w:val="24"/>
              </w:rPr>
              <w:t>Adequate internal controls</w:t>
            </w:r>
          </w:p>
        </w:tc>
      </w:tr>
      <w:tr w:rsidR="003D56DD" w:rsidRPr="003D56DD" w:rsidTr="003D56DD">
        <w:trPr>
          <w:cnfStyle w:val="000000100000"/>
        </w:trPr>
        <w:tc>
          <w:tcPr>
            <w:cnfStyle w:val="001000000000"/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Implement and manage treasury policies and procedures</w:t>
            </w:r>
          </w:p>
        </w:tc>
        <w:tc>
          <w:tcPr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preparedness</w:t>
            </w:r>
          </w:p>
        </w:tc>
      </w:tr>
      <w:tr w:rsidR="003D56DD" w:rsidRPr="003D56DD" w:rsidTr="003D56DD">
        <w:trPr>
          <w:cnfStyle w:val="000000010000"/>
        </w:trPr>
        <w:tc>
          <w:tcPr>
            <w:cnfStyle w:val="001000000000"/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Provision of covenant tests and information to investors</w:t>
            </w:r>
          </w:p>
        </w:tc>
        <w:tc>
          <w:tcPr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DD">
              <w:rPr>
                <w:rFonts w:ascii="Times New Roman" w:eastAsia="Times New Roman" w:hAnsi="Times New Roman" w:cs="Times New Roman"/>
                <w:sz w:val="24"/>
                <w:szCs w:val="24"/>
              </w:rPr>
              <w:t>Reputational risk management</w:t>
            </w:r>
          </w:p>
        </w:tc>
      </w:tr>
      <w:tr w:rsidR="003D56DD" w:rsidRPr="003D56DD" w:rsidTr="003D56DD">
        <w:trPr>
          <w:cnfStyle w:val="000000100000"/>
        </w:trPr>
        <w:tc>
          <w:tcPr>
            <w:cnfStyle w:val="001000000000"/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6DD" w:rsidRPr="003D56DD" w:rsidTr="003D56DD">
        <w:trPr>
          <w:cnfStyle w:val="000000010000"/>
        </w:trPr>
        <w:tc>
          <w:tcPr>
            <w:cnfStyle w:val="001000000000"/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6DD" w:rsidRPr="003D56DD" w:rsidTr="003D56DD">
        <w:trPr>
          <w:cnfStyle w:val="000000100000"/>
        </w:trPr>
        <w:tc>
          <w:tcPr>
            <w:cnfStyle w:val="001000000000"/>
            <w:tcW w:w="5526" w:type="dxa"/>
            <w:hideMark/>
          </w:tcPr>
          <w:p w:rsidR="003D56DD" w:rsidRPr="003D56DD" w:rsidRDefault="003D56DD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D56DD" w:rsidRPr="003D56DD" w:rsidRDefault="003D56DD" w:rsidP="001B44D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882" w:rsidRDefault="00AD4882" w:rsidP="001B4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4D1" w:rsidRDefault="001B44D1" w:rsidP="001B44D1">
      <w:pPr>
        <w:pStyle w:val="ListParagraph"/>
        <w:numPr>
          <w:ilvl w:val="0"/>
          <w:numId w:val="1"/>
        </w:numPr>
        <w:shd w:val="clear" w:color="auto" w:fill="FFFFFF"/>
        <w:spacing w:before="335" w:after="84" w:line="240" w:lineRule="auto"/>
        <w:ind w:left="0" w:hanging="27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1B44D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Stakeholder Relations</w:t>
      </w:r>
    </w:p>
    <w:p w:rsidR="0077761C" w:rsidRPr="0077761C" w:rsidRDefault="0077761C" w:rsidP="0077761C">
      <w:pPr>
        <w:pStyle w:val="ListParagraph"/>
        <w:shd w:val="clear" w:color="auto" w:fill="FFFFFF"/>
        <w:spacing w:before="335" w:after="84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pacing w:val="-17"/>
          <w:sz w:val="10"/>
          <w:szCs w:val="10"/>
        </w:rPr>
      </w:pPr>
    </w:p>
    <w:tbl>
      <w:tblPr>
        <w:tblStyle w:val="LightGrid-Accent11"/>
        <w:tblW w:w="0" w:type="auto"/>
        <w:tblLook w:val="04A0"/>
      </w:tblPr>
      <w:tblGrid>
        <w:gridCol w:w="4586"/>
        <w:gridCol w:w="4659"/>
      </w:tblGrid>
      <w:tr w:rsidR="001B44D1" w:rsidRPr="001B44D1" w:rsidTr="001B44D1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B44D1" w:rsidRPr="001B44D1" w:rsidRDefault="001B44D1" w:rsidP="001B44D1">
            <w:pPr>
              <w:pStyle w:val="ListParagraph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sz w:val="24"/>
                <w:szCs w:val="24"/>
              </w:rPr>
              <w:t>Key activities</w:t>
            </w:r>
          </w:p>
        </w:tc>
        <w:tc>
          <w:tcPr>
            <w:tcW w:w="0" w:type="auto"/>
            <w:hideMark/>
          </w:tcPr>
          <w:p w:rsidR="001B44D1" w:rsidRPr="001B44D1" w:rsidRDefault="001B44D1" w:rsidP="001B44D1">
            <w:pPr>
              <w:pStyle w:val="ListParagraph"/>
              <w:spacing w:line="240" w:lineRule="atLeast"/>
              <w:ind w:left="0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sz w:val="24"/>
                <w:szCs w:val="24"/>
              </w:rPr>
              <w:t>Key benefits</w:t>
            </w:r>
          </w:p>
        </w:tc>
      </w:tr>
      <w:tr w:rsidR="001B44D1" w:rsidRPr="001B44D1" w:rsidTr="001B44D1">
        <w:trPr>
          <w:cnfStyle w:val="000000100000"/>
        </w:trPr>
        <w:tc>
          <w:tcPr>
            <w:cnfStyle w:val="001000000000"/>
            <w:tcW w:w="5945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Provide performance and risk analytics to Board</w:t>
            </w:r>
          </w:p>
        </w:tc>
        <w:tc>
          <w:tcPr>
            <w:tcW w:w="5928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capital at the right time, price and conditions</w:t>
            </w:r>
          </w:p>
        </w:tc>
      </w:tr>
      <w:tr w:rsidR="001B44D1" w:rsidRPr="001B44D1" w:rsidTr="001B44D1">
        <w:trPr>
          <w:cnfStyle w:val="000000010000"/>
        </w:trPr>
        <w:tc>
          <w:tcPr>
            <w:cnfStyle w:val="001000000000"/>
            <w:tcW w:w="5945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Manage relationship with banks and other investors</w:t>
            </w:r>
          </w:p>
        </w:tc>
        <w:tc>
          <w:tcPr>
            <w:tcW w:w="5928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 benefit from proactive communication</w:t>
            </w:r>
          </w:p>
        </w:tc>
      </w:tr>
      <w:tr w:rsidR="001B44D1" w:rsidRPr="001B44D1" w:rsidTr="001B44D1">
        <w:trPr>
          <w:cnfStyle w:val="000000100000"/>
        </w:trPr>
        <w:tc>
          <w:tcPr>
            <w:cnfStyle w:val="001000000000"/>
            <w:tcW w:w="5945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Manage relationship with credit rating agencies</w:t>
            </w:r>
          </w:p>
        </w:tc>
        <w:tc>
          <w:tcPr>
            <w:tcW w:w="5928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sz w:val="24"/>
                <w:szCs w:val="24"/>
              </w:rPr>
              <w:t>Reputational risk management</w:t>
            </w:r>
          </w:p>
        </w:tc>
      </w:tr>
      <w:tr w:rsidR="001B44D1" w:rsidRPr="001B44D1" w:rsidTr="001B44D1">
        <w:trPr>
          <w:cnfStyle w:val="000000010000"/>
        </w:trPr>
        <w:tc>
          <w:tcPr>
            <w:cnfStyle w:val="001000000000"/>
            <w:tcW w:w="5945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Co-operate with Board and Investor Relations on shareholder matters</w:t>
            </w:r>
          </w:p>
        </w:tc>
        <w:tc>
          <w:tcPr>
            <w:tcW w:w="5928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sz w:val="24"/>
                <w:szCs w:val="24"/>
              </w:rPr>
              <w:t>Valuable knowledge and contacts from deep involvement with financial markets</w:t>
            </w:r>
          </w:p>
        </w:tc>
      </w:tr>
      <w:tr w:rsidR="001B44D1" w:rsidRPr="001B44D1" w:rsidTr="001B44D1">
        <w:trPr>
          <w:cnfStyle w:val="000000100000"/>
        </w:trPr>
        <w:tc>
          <w:tcPr>
            <w:cnfStyle w:val="001000000000"/>
            <w:tcW w:w="5945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Ensure the Treasury function is understood and valued within the business</w:t>
            </w:r>
          </w:p>
        </w:tc>
        <w:tc>
          <w:tcPr>
            <w:tcW w:w="5928" w:type="dxa"/>
            <w:hideMark/>
          </w:tcPr>
          <w:p w:rsidR="001B44D1" w:rsidRPr="001B44D1" w:rsidRDefault="001B44D1" w:rsidP="001B44D1">
            <w:pPr>
              <w:spacing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eastAsia="Times New Roman" w:hAnsi="Times New Roman" w:cs="Times New Roman"/>
                <w:sz w:val="24"/>
                <w:szCs w:val="24"/>
              </w:rPr>
              <w:t>Tangible financial results in the form of cost savings, efficiency gains, yield enhancement and protecting profitability</w:t>
            </w:r>
          </w:p>
        </w:tc>
      </w:tr>
    </w:tbl>
    <w:p w:rsidR="001B44D1" w:rsidRPr="00151366" w:rsidRDefault="001B44D1" w:rsidP="001B44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4D1" w:rsidRPr="00151366" w:rsidSect="006E6E0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4F4A"/>
    <w:multiLevelType w:val="hybridMultilevel"/>
    <w:tmpl w:val="408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01FD"/>
    <w:rsid w:val="00015A11"/>
    <w:rsid w:val="000B5712"/>
    <w:rsid w:val="00151366"/>
    <w:rsid w:val="001B44D1"/>
    <w:rsid w:val="00343087"/>
    <w:rsid w:val="003D56DD"/>
    <w:rsid w:val="005401FD"/>
    <w:rsid w:val="005A0AC3"/>
    <w:rsid w:val="005F7ECA"/>
    <w:rsid w:val="00621892"/>
    <w:rsid w:val="00664E1F"/>
    <w:rsid w:val="006E6E07"/>
    <w:rsid w:val="0077761C"/>
    <w:rsid w:val="00796332"/>
    <w:rsid w:val="007B3E59"/>
    <w:rsid w:val="007F6ED5"/>
    <w:rsid w:val="00832543"/>
    <w:rsid w:val="00894197"/>
    <w:rsid w:val="00A75EA1"/>
    <w:rsid w:val="00AD4882"/>
    <w:rsid w:val="00B07575"/>
    <w:rsid w:val="00BD216C"/>
    <w:rsid w:val="00BE2923"/>
    <w:rsid w:val="00D110BD"/>
    <w:rsid w:val="00DA72B0"/>
    <w:rsid w:val="00DB3A48"/>
    <w:rsid w:val="00E93F22"/>
    <w:rsid w:val="00E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12"/>
  </w:style>
  <w:style w:type="paragraph" w:styleId="Heading2">
    <w:name w:val="heading 2"/>
    <w:basedOn w:val="Normal"/>
    <w:link w:val="Heading2Char"/>
    <w:uiPriority w:val="9"/>
    <w:qFormat/>
    <w:rsid w:val="00A7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E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5EA1"/>
    <w:rPr>
      <w:b/>
      <w:bCs/>
    </w:rPr>
  </w:style>
  <w:style w:type="table" w:styleId="TableGrid">
    <w:name w:val="Table Grid"/>
    <w:basedOn w:val="TableNormal"/>
    <w:uiPriority w:val="59"/>
    <w:rsid w:val="0083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832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32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32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3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1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4197"/>
  </w:style>
  <w:style w:type="table" w:styleId="LightShading-Accent1">
    <w:name w:val="Light Shading Accent 1"/>
    <w:basedOn w:val="TableNormal"/>
    <w:uiPriority w:val="60"/>
    <w:rsid w:val="008941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counting-financial-tax.com/tag/go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ariful</dc:creator>
  <cp:keywords/>
  <dc:description/>
  <cp:lastModifiedBy>ariful</cp:lastModifiedBy>
  <cp:revision>19</cp:revision>
  <dcterms:created xsi:type="dcterms:W3CDTF">2015-10-21T07:42:00Z</dcterms:created>
  <dcterms:modified xsi:type="dcterms:W3CDTF">2015-10-21T09:41:00Z</dcterms:modified>
</cp:coreProperties>
</file>