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F6" w:rsidRPr="009C52BC" w:rsidRDefault="002B515A" w:rsidP="005F11F6">
      <w:pPr>
        <w:jc w:val="center"/>
        <w:rPr>
          <w:rFonts w:ascii="Times New Roman" w:hAnsi="Times New Roman" w:cs="Times New Roman"/>
          <w:b/>
          <w:i/>
          <w:sz w:val="24"/>
          <w:szCs w:val="24"/>
        </w:rPr>
      </w:pPr>
      <w:r w:rsidRPr="009C52BC">
        <w:rPr>
          <w:rFonts w:ascii="Times New Roman" w:hAnsi="Times New Roman" w:cs="Times New Roman"/>
          <w:b/>
          <w:i/>
          <w:sz w:val="32"/>
          <w:szCs w:val="32"/>
        </w:rPr>
        <w:t>Financial Risk Management including asset liability mana</w:t>
      </w:r>
      <w:r w:rsidR="00743BA4" w:rsidRPr="009C52BC">
        <w:rPr>
          <w:rFonts w:ascii="Times New Roman" w:hAnsi="Times New Roman" w:cs="Times New Roman"/>
          <w:b/>
          <w:i/>
          <w:sz w:val="32"/>
          <w:szCs w:val="32"/>
        </w:rPr>
        <w:t>gement</w:t>
      </w:r>
    </w:p>
    <w:p w:rsidR="009F3166" w:rsidRPr="009C52BC" w:rsidRDefault="009F3166" w:rsidP="005F11F6">
      <w:pPr>
        <w:pStyle w:val="ListParagraph"/>
        <w:numPr>
          <w:ilvl w:val="0"/>
          <w:numId w:val="17"/>
        </w:numPr>
        <w:rPr>
          <w:rFonts w:ascii="Times New Roman" w:hAnsi="Times New Roman" w:cs="Times New Roman"/>
          <w:b/>
          <w:i/>
          <w:sz w:val="24"/>
          <w:szCs w:val="24"/>
        </w:rPr>
      </w:pPr>
      <w:r w:rsidRPr="009C52BC">
        <w:rPr>
          <w:rFonts w:ascii="Times New Roman" w:hAnsi="Times New Roman" w:cs="Times New Roman"/>
          <w:b/>
          <w:sz w:val="24"/>
          <w:szCs w:val="24"/>
        </w:rPr>
        <w:t>Short Depiction of PKSF Activities</w:t>
      </w:r>
    </w:p>
    <w:p w:rsidR="005F11F6" w:rsidRPr="009C52BC" w:rsidRDefault="005F11F6" w:rsidP="005F11F6">
      <w:pPr>
        <w:pStyle w:val="ListParagraph"/>
        <w:ind w:left="360"/>
        <w:rPr>
          <w:rFonts w:ascii="Times New Roman" w:hAnsi="Times New Roman" w:cs="Times New Roman"/>
          <w:b/>
          <w:i/>
          <w:sz w:val="24"/>
          <w:szCs w:val="24"/>
        </w:rPr>
      </w:pPr>
    </w:p>
    <w:p w:rsidR="005F11F6" w:rsidRPr="009C52BC" w:rsidRDefault="005F11F6" w:rsidP="005F11F6">
      <w:pPr>
        <w:pStyle w:val="ListParagraph"/>
        <w:numPr>
          <w:ilvl w:val="1"/>
          <w:numId w:val="18"/>
        </w:numPr>
        <w:tabs>
          <w:tab w:val="left" w:pos="810"/>
        </w:tabs>
        <w:jc w:val="both"/>
        <w:rPr>
          <w:rFonts w:ascii="Times New Roman" w:hAnsi="Times New Roman" w:cs="Times New Roman"/>
          <w:b/>
          <w:sz w:val="24"/>
          <w:szCs w:val="24"/>
        </w:rPr>
      </w:pPr>
      <w:r w:rsidRPr="009C52BC">
        <w:rPr>
          <w:rFonts w:ascii="Times New Roman" w:hAnsi="Times New Roman" w:cs="Times New Roman"/>
          <w:sz w:val="24"/>
          <w:szCs w:val="24"/>
        </w:rPr>
        <w:t xml:space="preserve">) </w:t>
      </w:r>
      <w:r w:rsidR="004A1EE1" w:rsidRPr="009C52BC">
        <w:rPr>
          <w:rFonts w:ascii="Times New Roman" w:hAnsi="Times New Roman" w:cs="Times New Roman"/>
          <w:sz w:val="24"/>
          <w:szCs w:val="24"/>
        </w:rPr>
        <w:t xml:space="preserve">With a view to alleviate poverty through employment generation, Government of the People’s Republic of Bangladesh has established </w:t>
      </w:r>
      <w:proofErr w:type="spellStart"/>
      <w:r w:rsidR="004A1EE1" w:rsidRPr="009C52BC">
        <w:rPr>
          <w:rFonts w:ascii="Times New Roman" w:hAnsi="Times New Roman" w:cs="Times New Roman"/>
          <w:sz w:val="24"/>
          <w:szCs w:val="24"/>
        </w:rPr>
        <w:t>Palli</w:t>
      </w:r>
      <w:proofErr w:type="spellEnd"/>
      <w:r w:rsidR="004A1EE1" w:rsidRPr="009C52BC">
        <w:rPr>
          <w:rFonts w:ascii="Times New Roman" w:hAnsi="Times New Roman" w:cs="Times New Roman"/>
          <w:sz w:val="24"/>
          <w:szCs w:val="24"/>
        </w:rPr>
        <w:t xml:space="preserve"> Karma-</w:t>
      </w:r>
      <w:proofErr w:type="spellStart"/>
      <w:r w:rsidR="004A1EE1" w:rsidRPr="009C52BC">
        <w:rPr>
          <w:rFonts w:ascii="Times New Roman" w:hAnsi="Times New Roman" w:cs="Times New Roman"/>
          <w:sz w:val="24"/>
          <w:szCs w:val="24"/>
        </w:rPr>
        <w:t>Sahayak</w:t>
      </w:r>
      <w:proofErr w:type="spellEnd"/>
      <w:r w:rsidR="004A1EE1" w:rsidRPr="009C52BC">
        <w:rPr>
          <w:rFonts w:ascii="Times New Roman" w:hAnsi="Times New Roman" w:cs="Times New Roman"/>
          <w:sz w:val="24"/>
          <w:szCs w:val="24"/>
        </w:rPr>
        <w:t xml:space="preserve"> Foundation </w:t>
      </w:r>
      <w:r w:rsidR="00865652" w:rsidRPr="009C52BC">
        <w:rPr>
          <w:rFonts w:ascii="Times New Roman" w:hAnsi="Times New Roman" w:cs="Times New Roman"/>
          <w:sz w:val="24"/>
          <w:szCs w:val="24"/>
        </w:rPr>
        <w:t>(PKSF) under</w:t>
      </w:r>
      <w:r w:rsidR="004A1EE1" w:rsidRPr="009C52BC">
        <w:rPr>
          <w:rFonts w:ascii="Times New Roman" w:hAnsi="Times New Roman" w:cs="Times New Roman"/>
          <w:sz w:val="24"/>
          <w:szCs w:val="24"/>
        </w:rPr>
        <w:t xml:space="preserve"> the Company Act 1913(amended in 1994) as “not for Profit” company in 1990.</w:t>
      </w:r>
      <w:r w:rsidR="008E2952" w:rsidRPr="009C52BC">
        <w:rPr>
          <w:rFonts w:ascii="Times New Roman" w:hAnsi="Times New Roman" w:cs="Times New Roman"/>
          <w:sz w:val="24"/>
          <w:szCs w:val="24"/>
        </w:rPr>
        <w:t xml:space="preserve"> </w:t>
      </w:r>
      <w:r w:rsidR="00D23630" w:rsidRPr="009C52BC">
        <w:rPr>
          <w:rFonts w:ascii="Times New Roman" w:hAnsi="Times New Roman" w:cs="Times New Roman"/>
          <w:sz w:val="24"/>
          <w:szCs w:val="24"/>
        </w:rPr>
        <w:t>PKSF makes available financial services (Micro-credit, Agricultural credit, Micro-Enterprise credit, M</w:t>
      </w:r>
      <w:r w:rsidR="008E2952" w:rsidRPr="009C52BC">
        <w:rPr>
          <w:rFonts w:ascii="Times New Roman" w:hAnsi="Times New Roman" w:cs="Times New Roman"/>
          <w:sz w:val="24"/>
          <w:szCs w:val="24"/>
        </w:rPr>
        <w:t>icro-Insurance), Technical know</w:t>
      </w:r>
      <w:r w:rsidR="00D23630" w:rsidRPr="009C52BC">
        <w:rPr>
          <w:rFonts w:ascii="Times New Roman" w:hAnsi="Times New Roman" w:cs="Times New Roman"/>
          <w:sz w:val="24"/>
          <w:szCs w:val="24"/>
        </w:rPr>
        <w:t>how, Capacity Building, and comprehensive community development services through a network of 273 Partner Organizations</w:t>
      </w:r>
      <w:r w:rsidR="00F20981" w:rsidRPr="009C52BC">
        <w:rPr>
          <w:rFonts w:ascii="Times New Roman" w:hAnsi="Times New Roman" w:cs="Times New Roman"/>
          <w:sz w:val="24"/>
          <w:szCs w:val="24"/>
        </w:rPr>
        <w:t xml:space="preserve"> to</w:t>
      </w:r>
      <w:r w:rsidR="002A6BCC" w:rsidRPr="009C52BC">
        <w:rPr>
          <w:rFonts w:ascii="Times New Roman" w:hAnsi="Times New Roman" w:cs="Times New Roman"/>
          <w:sz w:val="24"/>
          <w:szCs w:val="24"/>
        </w:rPr>
        <w:t xml:space="preserve"> </w:t>
      </w:r>
      <w:r w:rsidR="008E2952" w:rsidRPr="009C52BC">
        <w:rPr>
          <w:rFonts w:ascii="Times New Roman" w:hAnsi="Times New Roman" w:cs="Times New Roman"/>
          <w:sz w:val="24"/>
          <w:szCs w:val="24"/>
        </w:rPr>
        <w:t>support</w:t>
      </w:r>
      <w:r w:rsidR="002A6BCC" w:rsidRPr="009C52BC">
        <w:rPr>
          <w:rFonts w:ascii="Times New Roman" w:hAnsi="Times New Roman" w:cs="Times New Roman"/>
          <w:sz w:val="24"/>
          <w:szCs w:val="24"/>
        </w:rPr>
        <w:t xml:space="preserve"> </w:t>
      </w:r>
      <w:r w:rsidR="002A6BCC" w:rsidRPr="009C52BC">
        <w:rPr>
          <w:rFonts w:ascii="Times New Roman" w:hAnsi="Times New Roman" w:cs="Times New Roman"/>
          <w:i/>
          <w:sz w:val="24"/>
          <w:szCs w:val="24"/>
        </w:rPr>
        <w:t>Income generating Activities</w:t>
      </w:r>
      <w:r w:rsidR="00F20981" w:rsidRPr="009C52BC">
        <w:rPr>
          <w:rFonts w:ascii="Times New Roman" w:hAnsi="Times New Roman" w:cs="Times New Roman"/>
          <w:sz w:val="24"/>
          <w:szCs w:val="24"/>
        </w:rPr>
        <w:t xml:space="preserve"> </w:t>
      </w:r>
      <w:r w:rsidR="002A6BCC" w:rsidRPr="009C52BC">
        <w:rPr>
          <w:rFonts w:ascii="Times New Roman" w:hAnsi="Times New Roman" w:cs="Times New Roman"/>
          <w:sz w:val="24"/>
          <w:szCs w:val="24"/>
        </w:rPr>
        <w:t xml:space="preserve">and employment generation that will </w:t>
      </w:r>
      <w:r w:rsidR="00F20981" w:rsidRPr="009C52BC">
        <w:rPr>
          <w:rFonts w:ascii="Times New Roman" w:hAnsi="Times New Roman" w:cs="Times New Roman"/>
          <w:sz w:val="24"/>
          <w:szCs w:val="24"/>
        </w:rPr>
        <w:t>ensure sustainable</w:t>
      </w:r>
      <w:r w:rsidR="008E2952" w:rsidRPr="009C52BC">
        <w:rPr>
          <w:rFonts w:ascii="Times New Roman" w:hAnsi="Times New Roman" w:cs="Times New Roman"/>
          <w:sz w:val="24"/>
          <w:szCs w:val="24"/>
        </w:rPr>
        <w:t xml:space="preserve"> up-</w:t>
      </w:r>
      <w:r w:rsidR="002A6BCC" w:rsidRPr="009C52BC">
        <w:rPr>
          <w:rFonts w:ascii="Times New Roman" w:hAnsi="Times New Roman" w:cs="Times New Roman"/>
          <w:sz w:val="24"/>
          <w:szCs w:val="24"/>
        </w:rPr>
        <w:t xml:space="preserve">gradation </w:t>
      </w:r>
      <w:r w:rsidR="008E2952" w:rsidRPr="009C52BC">
        <w:rPr>
          <w:rFonts w:ascii="Times New Roman" w:hAnsi="Times New Roman" w:cs="Times New Roman"/>
          <w:sz w:val="24"/>
          <w:szCs w:val="24"/>
        </w:rPr>
        <w:t>and</w:t>
      </w:r>
      <w:r w:rsidR="002A6BCC" w:rsidRPr="009C52BC">
        <w:rPr>
          <w:rFonts w:ascii="Times New Roman" w:hAnsi="Times New Roman" w:cs="Times New Roman"/>
          <w:sz w:val="24"/>
          <w:szCs w:val="24"/>
        </w:rPr>
        <w:t xml:space="preserve"> standard of liv</w:t>
      </w:r>
      <w:r w:rsidR="008E2952" w:rsidRPr="009C52BC">
        <w:rPr>
          <w:rFonts w:ascii="Times New Roman" w:hAnsi="Times New Roman" w:cs="Times New Roman"/>
          <w:sz w:val="24"/>
          <w:szCs w:val="24"/>
        </w:rPr>
        <w:t>el</w:t>
      </w:r>
      <w:r w:rsidR="002A6BCC" w:rsidRPr="009C52BC">
        <w:rPr>
          <w:rFonts w:ascii="Times New Roman" w:hAnsi="Times New Roman" w:cs="Times New Roman"/>
          <w:sz w:val="24"/>
          <w:szCs w:val="24"/>
        </w:rPr>
        <w:t>i</w:t>
      </w:r>
      <w:r w:rsidR="008E2952" w:rsidRPr="009C52BC">
        <w:rPr>
          <w:rFonts w:ascii="Times New Roman" w:hAnsi="Times New Roman" w:cs="Times New Roman"/>
          <w:sz w:val="24"/>
          <w:szCs w:val="24"/>
        </w:rPr>
        <w:t>hood</w:t>
      </w:r>
      <w:r w:rsidR="002A6BCC" w:rsidRPr="009C52BC">
        <w:rPr>
          <w:rFonts w:ascii="Times New Roman" w:hAnsi="Times New Roman" w:cs="Times New Roman"/>
          <w:sz w:val="24"/>
          <w:szCs w:val="24"/>
        </w:rPr>
        <w:t xml:space="preserve"> of Poverty stricken marginalized </w:t>
      </w:r>
      <w:r w:rsidR="0002514C" w:rsidRPr="009C52BC">
        <w:rPr>
          <w:rFonts w:ascii="Times New Roman" w:hAnsi="Times New Roman" w:cs="Times New Roman"/>
          <w:sz w:val="24"/>
          <w:szCs w:val="24"/>
        </w:rPr>
        <w:t xml:space="preserve">people. To generate opportunities for self-employments and wage employments among poverty stricken people across the rural and urban areas of the country, PKSF through its Partner Organizations has </w:t>
      </w:r>
      <w:r w:rsidR="006B0E86" w:rsidRPr="009C52BC">
        <w:rPr>
          <w:rFonts w:ascii="Times New Roman" w:hAnsi="Times New Roman" w:cs="Times New Roman"/>
          <w:sz w:val="24"/>
          <w:szCs w:val="24"/>
        </w:rPr>
        <w:t>disbursed</w:t>
      </w:r>
      <w:r w:rsidR="0002514C" w:rsidRPr="009C52BC">
        <w:rPr>
          <w:rFonts w:ascii="Times New Roman" w:hAnsi="Times New Roman" w:cs="Times New Roman"/>
          <w:sz w:val="24"/>
          <w:szCs w:val="24"/>
        </w:rPr>
        <w:t xml:space="preserve"> </w:t>
      </w:r>
      <w:r w:rsidR="006B0E86" w:rsidRPr="009C52BC">
        <w:rPr>
          <w:rFonts w:ascii="Times New Roman" w:hAnsi="Times New Roman" w:cs="Times New Roman"/>
          <w:sz w:val="24"/>
          <w:szCs w:val="24"/>
        </w:rPr>
        <w:t xml:space="preserve">a cumulative </w:t>
      </w:r>
      <w:r w:rsidR="008868D4" w:rsidRPr="009C52BC">
        <w:rPr>
          <w:rFonts w:ascii="Times New Roman" w:hAnsi="Times New Roman" w:cs="Times New Roman"/>
          <w:sz w:val="24"/>
          <w:szCs w:val="24"/>
        </w:rPr>
        <w:t xml:space="preserve">BDT </w:t>
      </w:r>
      <w:r w:rsidR="002B515A" w:rsidRPr="009C52BC">
        <w:rPr>
          <w:rFonts w:ascii="Times New Roman" w:hAnsi="Times New Roman" w:cs="Times New Roman"/>
          <w:sz w:val="24"/>
          <w:szCs w:val="24"/>
        </w:rPr>
        <w:t>2135473</w:t>
      </w:r>
      <w:r w:rsidR="006B0E86" w:rsidRPr="009C52BC">
        <w:rPr>
          <w:rFonts w:ascii="Times New Roman" w:hAnsi="Times New Roman" w:cs="Times New Roman"/>
          <w:sz w:val="24"/>
          <w:szCs w:val="24"/>
        </w:rPr>
        <w:t xml:space="preserve"> million</w:t>
      </w:r>
      <w:r w:rsidR="0002514C" w:rsidRPr="009C52BC">
        <w:rPr>
          <w:rFonts w:ascii="Times New Roman" w:hAnsi="Times New Roman" w:cs="Times New Roman"/>
          <w:sz w:val="24"/>
          <w:szCs w:val="24"/>
        </w:rPr>
        <w:t xml:space="preserve"> as </w:t>
      </w:r>
      <w:r w:rsidR="00CC5A5B">
        <w:rPr>
          <w:rFonts w:ascii="Times New Roman" w:hAnsi="Times New Roman" w:cs="Times New Roman"/>
          <w:sz w:val="24"/>
          <w:szCs w:val="24"/>
        </w:rPr>
        <w:t>loans to the targeted poor clients</w:t>
      </w:r>
      <w:r w:rsidR="0002514C" w:rsidRPr="009C52BC">
        <w:rPr>
          <w:rFonts w:ascii="Times New Roman" w:hAnsi="Times New Roman" w:cs="Times New Roman"/>
          <w:sz w:val="24"/>
          <w:szCs w:val="24"/>
        </w:rPr>
        <w:t xml:space="preserve"> till Ma</w:t>
      </w:r>
      <w:r w:rsidR="002B515A" w:rsidRPr="009C52BC">
        <w:rPr>
          <w:rFonts w:ascii="Times New Roman" w:hAnsi="Times New Roman" w:cs="Times New Roman"/>
          <w:sz w:val="24"/>
          <w:szCs w:val="24"/>
        </w:rPr>
        <w:t>7</w:t>
      </w:r>
      <w:r w:rsidR="0002514C" w:rsidRPr="009C52BC">
        <w:rPr>
          <w:rFonts w:ascii="Times New Roman" w:hAnsi="Times New Roman" w:cs="Times New Roman"/>
          <w:sz w:val="24"/>
          <w:szCs w:val="24"/>
        </w:rPr>
        <w:t>, 201</w:t>
      </w:r>
      <w:r w:rsidR="002B515A" w:rsidRPr="009C52BC">
        <w:rPr>
          <w:rFonts w:ascii="Times New Roman" w:hAnsi="Times New Roman" w:cs="Times New Roman"/>
          <w:sz w:val="24"/>
          <w:szCs w:val="24"/>
        </w:rPr>
        <w:t>5</w:t>
      </w:r>
      <w:r w:rsidR="006B0E86" w:rsidRPr="009C52BC">
        <w:rPr>
          <w:rFonts w:ascii="Times New Roman" w:hAnsi="Times New Roman" w:cs="Times New Roman"/>
          <w:sz w:val="24"/>
          <w:szCs w:val="24"/>
        </w:rPr>
        <w:t>.</w:t>
      </w:r>
    </w:p>
    <w:p w:rsidR="007015A7" w:rsidRPr="009C52BC" w:rsidRDefault="007015A7" w:rsidP="002F004C">
      <w:pPr>
        <w:pStyle w:val="ListParagraph"/>
        <w:tabs>
          <w:tab w:val="left" w:pos="810"/>
        </w:tabs>
        <w:jc w:val="both"/>
        <w:rPr>
          <w:rFonts w:ascii="Times New Roman" w:hAnsi="Times New Roman" w:cs="Times New Roman"/>
          <w:sz w:val="24"/>
          <w:szCs w:val="24"/>
        </w:rPr>
      </w:pPr>
    </w:p>
    <w:p w:rsidR="00504895" w:rsidRPr="009C52BC" w:rsidRDefault="00504895" w:rsidP="002F004C">
      <w:pPr>
        <w:pStyle w:val="ListParagraph"/>
        <w:tabs>
          <w:tab w:val="left" w:pos="810"/>
        </w:tabs>
        <w:jc w:val="both"/>
        <w:rPr>
          <w:rFonts w:ascii="Times New Roman" w:hAnsi="Times New Roman" w:cs="Times New Roman"/>
          <w:b/>
          <w:sz w:val="24"/>
          <w:szCs w:val="24"/>
        </w:rPr>
      </w:pPr>
      <w:r w:rsidRPr="009C52BC">
        <w:rPr>
          <w:rFonts w:ascii="Times New Roman" w:hAnsi="Times New Roman" w:cs="Times New Roman"/>
          <w:sz w:val="24"/>
          <w:szCs w:val="24"/>
        </w:rPr>
        <w:t>Credit recovery is a critical element for ensuring sustainable source of financing for mar</w:t>
      </w:r>
      <w:r w:rsidR="008E2952" w:rsidRPr="009C52BC">
        <w:rPr>
          <w:rFonts w:ascii="Times New Roman" w:hAnsi="Times New Roman" w:cs="Times New Roman"/>
          <w:sz w:val="24"/>
          <w:szCs w:val="24"/>
        </w:rPr>
        <w:t>ginalized people. PKSF and its P</w:t>
      </w:r>
      <w:r w:rsidRPr="009C52BC">
        <w:rPr>
          <w:rFonts w:ascii="Times New Roman" w:hAnsi="Times New Roman" w:cs="Times New Roman"/>
          <w:sz w:val="24"/>
          <w:szCs w:val="24"/>
        </w:rPr>
        <w:t>artner O</w:t>
      </w:r>
      <w:r w:rsidR="00D12DC5">
        <w:rPr>
          <w:rFonts w:ascii="Times New Roman" w:hAnsi="Times New Roman" w:cs="Times New Roman"/>
          <w:sz w:val="24"/>
          <w:szCs w:val="24"/>
        </w:rPr>
        <w:t xml:space="preserve">rganization </w:t>
      </w:r>
      <w:proofErr w:type="gramStart"/>
      <w:r w:rsidR="00D12DC5">
        <w:rPr>
          <w:rFonts w:ascii="Times New Roman" w:hAnsi="Times New Roman" w:cs="Times New Roman"/>
          <w:sz w:val="24"/>
          <w:szCs w:val="24"/>
        </w:rPr>
        <w:t>has</w:t>
      </w:r>
      <w:proofErr w:type="gramEnd"/>
      <w:r w:rsidR="00D12DC5">
        <w:rPr>
          <w:rFonts w:ascii="Times New Roman" w:hAnsi="Times New Roman" w:cs="Times New Roman"/>
          <w:sz w:val="24"/>
          <w:szCs w:val="24"/>
        </w:rPr>
        <w:t xml:space="preserve"> shown resilience</w:t>
      </w:r>
      <w:r w:rsidRPr="009C52BC">
        <w:rPr>
          <w:rFonts w:ascii="Times New Roman" w:hAnsi="Times New Roman" w:cs="Times New Roman"/>
          <w:sz w:val="24"/>
          <w:szCs w:val="24"/>
        </w:rPr>
        <w:t xml:space="preserve"> in maintaining solid track record in recovery. Credit recovery rate till M</w:t>
      </w:r>
      <w:r w:rsidR="002B515A" w:rsidRPr="009C52BC">
        <w:rPr>
          <w:rFonts w:ascii="Times New Roman" w:hAnsi="Times New Roman" w:cs="Times New Roman"/>
          <w:sz w:val="24"/>
          <w:szCs w:val="24"/>
        </w:rPr>
        <w:t>ay</w:t>
      </w:r>
      <w:r w:rsidRPr="009C52BC">
        <w:rPr>
          <w:rFonts w:ascii="Times New Roman" w:hAnsi="Times New Roman" w:cs="Times New Roman"/>
          <w:sz w:val="24"/>
          <w:szCs w:val="24"/>
        </w:rPr>
        <w:t>, 201</w:t>
      </w:r>
      <w:r w:rsidR="002B515A" w:rsidRPr="009C52BC">
        <w:rPr>
          <w:rFonts w:ascii="Times New Roman" w:hAnsi="Times New Roman" w:cs="Times New Roman"/>
          <w:sz w:val="24"/>
          <w:szCs w:val="24"/>
        </w:rPr>
        <w:t>5</w:t>
      </w:r>
      <w:r w:rsidRPr="009C52BC">
        <w:rPr>
          <w:rFonts w:ascii="Times New Roman" w:hAnsi="Times New Roman" w:cs="Times New Roman"/>
          <w:sz w:val="24"/>
          <w:szCs w:val="24"/>
        </w:rPr>
        <w:t xml:space="preserve"> at PKSF-Partner Organization level is 98.</w:t>
      </w:r>
      <w:r w:rsidR="002B515A" w:rsidRPr="009C52BC">
        <w:rPr>
          <w:rFonts w:ascii="Times New Roman" w:hAnsi="Times New Roman" w:cs="Times New Roman"/>
          <w:sz w:val="24"/>
          <w:szCs w:val="24"/>
        </w:rPr>
        <w:t>99%</w:t>
      </w:r>
      <w:r w:rsidRPr="009C52BC">
        <w:rPr>
          <w:rFonts w:ascii="Times New Roman" w:hAnsi="Times New Roman" w:cs="Times New Roman"/>
          <w:sz w:val="24"/>
          <w:szCs w:val="24"/>
        </w:rPr>
        <w:t>, whereas it is 99.</w:t>
      </w:r>
      <w:r w:rsidR="002B515A" w:rsidRPr="009C52BC">
        <w:rPr>
          <w:rFonts w:ascii="Times New Roman" w:hAnsi="Times New Roman" w:cs="Times New Roman"/>
          <w:sz w:val="24"/>
          <w:szCs w:val="24"/>
        </w:rPr>
        <w:t>6</w:t>
      </w:r>
      <w:r w:rsidRPr="009C52BC">
        <w:rPr>
          <w:rFonts w:ascii="Times New Roman" w:hAnsi="Times New Roman" w:cs="Times New Roman"/>
          <w:sz w:val="24"/>
          <w:szCs w:val="24"/>
        </w:rPr>
        <w:t xml:space="preserve">5% at Partner Organization-Clients level. </w:t>
      </w:r>
    </w:p>
    <w:p w:rsidR="005F11F6" w:rsidRPr="009C52BC" w:rsidRDefault="005F11F6" w:rsidP="005F11F6">
      <w:pPr>
        <w:pStyle w:val="ListParagraph"/>
        <w:tabs>
          <w:tab w:val="left" w:pos="810"/>
        </w:tabs>
        <w:jc w:val="both"/>
        <w:rPr>
          <w:rFonts w:ascii="Times New Roman" w:hAnsi="Times New Roman" w:cs="Times New Roman"/>
          <w:sz w:val="24"/>
          <w:szCs w:val="24"/>
        </w:rPr>
      </w:pPr>
    </w:p>
    <w:p w:rsidR="005131DA" w:rsidRPr="009C52BC" w:rsidRDefault="005F11F6" w:rsidP="005F11F6">
      <w:pPr>
        <w:pStyle w:val="ListParagraph"/>
        <w:numPr>
          <w:ilvl w:val="1"/>
          <w:numId w:val="18"/>
        </w:numPr>
        <w:tabs>
          <w:tab w:val="left" w:pos="810"/>
        </w:tabs>
        <w:jc w:val="both"/>
        <w:rPr>
          <w:rFonts w:ascii="Times New Roman" w:hAnsi="Times New Roman" w:cs="Times New Roman"/>
          <w:sz w:val="24"/>
          <w:szCs w:val="24"/>
        </w:rPr>
      </w:pPr>
      <w:r w:rsidRPr="009C52BC">
        <w:rPr>
          <w:rFonts w:ascii="Times New Roman" w:hAnsi="Times New Roman" w:cs="Times New Roman"/>
          <w:sz w:val="24"/>
          <w:szCs w:val="24"/>
        </w:rPr>
        <w:t xml:space="preserve">) </w:t>
      </w:r>
      <w:r w:rsidR="006B0E86" w:rsidRPr="009C52BC">
        <w:rPr>
          <w:rFonts w:ascii="Times New Roman" w:hAnsi="Times New Roman" w:cs="Times New Roman"/>
          <w:sz w:val="24"/>
          <w:szCs w:val="24"/>
        </w:rPr>
        <w:t xml:space="preserve">PKSF along with development partners (IDA, WB, IFAD, DFID, ADB </w:t>
      </w:r>
      <w:r w:rsidR="008E2952" w:rsidRPr="009C52BC">
        <w:rPr>
          <w:rFonts w:ascii="Times New Roman" w:hAnsi="Times New Roman" w:cs="Times New Roman"/>
          <w:sz w:val="24"/>
          <w:szCs w:val="24"/>
        </w:rPr>
        <w:t>, EU</w:t>
      </w:r>
      <w:r w:rsidR="002B515A" w:rsidRPr="009C52BC">
        <w:rPr>
          <w:rFonts w:ascii="Times New Roman" w:hAnsi="Times New Roman" w:cs="Times New Roman"/>
          <w:sz w:val="24"/>
          <w:szCs w:val="24"/>
        </w:rPr>
        <w:t>, KFAED</w:t>
      </w:r>
      <w:r w:rsidR="008E2952" w:rsidRPr="009C52BC">
        <w:rPr>
          <w:rFonts w:ascii="Times New Roman" w:hAnsi="Times New Roman" w:cs="Times New Roman"/>
          <w:sz w:val="24"/>
          <w:szCs w:val="24"/>
        </w:rPr>
        <w:t xml:space="preserve"> </w:t>
      </w:r>
      <w:r w:rsidR="006B0E86" w:rsidRPr="009C52BC">
        <w:rPr>
          <w:rFonts w:ascii="Times New Roman" w:hAnsi="Times New Roman" w:cs="Times New Roman"/>
          <w:sz w:val="24"/>
          <w:szCs w:val="24"/>
        </w:rPr>
        <w:t xml:space="preserve">etc.) also implementing several projects targeted toward, employment </w:t>
      </w:r>
      <w:r w:rsidR="00504895" w:rsidRPr="009C52BC">
        <w:rPr>
          <w:rFonts w:ascii="Times New Roman" w:hAnsi="Times New Roman" w:cs="Times New Roman"/>
          <w:sz w:val="24"/>
          <w:szCs w:val="24"/>
        </w:rPr>
        <w:t xml:space="preserve">generation, capacity building, Technology </w:t>
      </w:r>
      <w:r w:rsidR="002246A1" w:rsidRPr="009C52BC">
        <w:rPr>
          <w:rFonts w:ascii="Times New Roman" w:hAnsi="Times New Roman" w:cs="Times New Roman"/>
          <w:sz w:val="24"/>
          <w:szCs w:val="24"/>
        </w:rPr>
        <w:t>Transfer, Insurance, E</w:t>
      </w:r>
      <w:r w:rsidR="005131DA" w:rsidRPr="009C52BC">
        <w:rPr>
          <w:rFonts w:ascii="Times New Roman" w:hAnsi="Times New Roman" w:cs="Times New Roman"/>
          <w:sz w:val="24"/>
          <w:szCs w:val="24"/>
        </w:rPr>
        <w:t>ducation</w:t>
      </w:r>
      <w:r w:rsidR="002246A1" w:rsidRPr="009C52BC">
        <w:rPr>
          <w:rFonts w:ascii="Times New Roman" w:hAnsi="Times New Roman" w:cs="Times New Roman"/>
          <w:sz w:val="24"/>
          <w:szCs w:val="24"/>
        </w:rPr>
        <w:t>, Health, N</w:t>
      </w:r>
      <w:r w:rsidR="006B0E86" w:rsidRPr="009C52BC">
        <w:rPr>
          <w:rFonts w:ascii="Times New Roman" w:hAnsi="Times New Roman" w:cs="Times New Roman"/>
          <w:sz w:val="24"/>
          <w:szCs w:val="24"/>
        </w:rPr>
        <w:t xml:space="preserve">utrition, Social </w:t>
      </w:r>
      <w:r w:rsidR="002246A1" w:rsidRPr="009C52BC">
        <w:rPr>
          <w:rFonts w:ascii="Times New Roman" w:hAnsi="Times New Roman" w:cs="Times New Roman"/>
          <w:sz w:val="24"/>
          <w:szCs w:val="24"/>
        </w:rPr>
        <w:t>A</w:t>
      </w:r>
      <w:r w:rsidR="00504895" w:rsidRPr="009C52BC">
        <w:rPr>
          <w:rFonts w:ascii="Times New Roman" w:hAnsi="Times New Roman" w:cs="Times New Roman"/>
          <w:sz w:val="24"/>
          <w:szCs w:val="24"/>
        </w:rPr>
        <w:t>wareness</w:t>
      </w:r>
      <w:r w:rsidR="008E2952" w:rsidRPr="009C52BC">
        <w:rPr>
          <w:rFonts w:ascii="Times New Roman" w:hAnsi="Times New Roman" w:cs="Times New Roman"/>
          <w:sz w:val="24"/>
          <w:szCs w:val="24"/>
        </w:rPr>
        <w:t>, climate change adaptation</w:t>
      </w:r>
      <w:r w:rsidR="002246A1" w:rsidRPr="009C52BC">
        <w:rPr>
          <w:rFonts w:ascii="Times New Roman" w:hAnsi="Times New Roman" w:cs="Times New Roman"/>
          <w:sz w:val="24"/>
          <w:szCs w:val="24"/>
        </w:rPr>
        <w:t xml:space="preserve"> and K</w:t>
      </w:r>
      <w:r w:rsidR="006B0E86" w:rsidRPr="009C52BC">
        <w:rPr>
          <w:rFonts w:ascii="Times New Roman" w:hAnsi="Times New Roman" w:cs="Times New Roman"/>
          <w:sz w:val="24"/>
          <w:szCs w:val="24"/>
        </w:rPr>
        <w:t>nowledge Dissemination</w:t>
      </w:r>
      <w:r w:rsidR="00504895" w:rsidRPr="009C52BC">
        <w:rPr>
          <w:rFonts w:ascii="Times New Roman" w:hAnsi="Times New Roman" w:cs="Times New Roman"/>
          <w:sz w:val="24"/>
          <w:szCs w:val="24"/>
        </w:rPr>
        <w:t>.</w:t>
      </w:r>
    </w:p>
    <w:p w:rsidR="00143E9E" w:rsidRPr="009C52BC" w:rsidRDefault="00143E9E" w:rsidP="002F004C">
      <w:pPr>
        <w:pStyle w:val="ListParagraph"/>
        <w:tabs>
          <w:tab w:val="left" w:pos="810"/>
        </w:tabs>
        <w:jc w:val="both"/>
        <w:rPr>
          <w:rFonts w:ascii="Times New Roman" w:hAnsi="Times New Roman" w:cs="Times New Roman"/>
          <w:sz w:val="24"/>
          <w:szCs w:val="24"/>
        </w:rPr>
      </w:pPr>
      <w:r w:rsidRPr="009C52BC">
        <w:rPr>
          <w:rFonts w:ascii="Times New Roman" w:hAnsi="Times New Roman" w:cs="Times New Roman"/>
          <w:sz w:val="24"/>
          <w:szCs w:val="24"/>
        </w:rPr>
        <w:t>Besides PKSF undertake several other target oriented and specific development interventions in socio- economic development of marginalized people.</w:t>
      </w:r>
    </w:p>
    <w:p w:rsidR="005F11F6" w:rsidRPr="009C52BC" w:rsidRDefault="005F11F6" w:rsidP="002F004C">
      <w:pPr>
        <w:pStyle w:val="ListParagraph"/>
        <w:tabs>
          <w:tab w:val="left" w:pos="810"/>
        </w:tabs>
        <w:jc w:val="both"/>
        <w:rPr>
          <w:rFonts w:ascii="Times New Roman" w:hAnsi="Times New Roman" w:cs="Times New Roman"/>
          <w:sz w:val="24"/>
          <w:szCs w:val="24"/>
        </w:rPr>
      </w:pPr>
    </w:p>
    <w:p w:rsidR="00CD1146" w:rsidRPr="009C52BC" w:rsidRDefault="005F11F6" w:rsidP="005F11F6">
      <w:pPr>
        <w:pStyle w:val="ListParagraph"/>
        <w:numPr>
          <w:ilvl w:val="1"/>
          <w:numId w:val="18"/>
        </w:numPr>
        <w:tabs>
          <w:tab w:val="left" w:pos="360"/>
          <w:tab w:val="left" w:pos="810"/>
        </w:tabs>
        <w:jc w:val="both"/>
        <w:rPr>
          <w:rFonts w:ascii="Times New Roman" w:hAnsi="Times New Roman" w:cs="Times New Roman"/>
          <w:b/>
          <w:sz w:val="24"/>
          <w:szCs w:val="24"/>
        </w:rPr>
      </w:pPr>
      <w:r w:rsidRPr="009C52BC">
        <w:rPr>
          <w:rFonts w:ascii="Times New Roman" w:hAnsi="Times New Roman" w:cs="Times New Roman"/>
          <w:sz w:val="24"/>
          <w:szCs w:val="24"/>
        </w:rPr>
        <w:t xml:space="preserve">) </w:t>
      </w:r>
      <w:r w:rsidR="00AD778A" w:rsidRPr="009C52BC">
        <w:rPr>
          <w:rFonts w:ascii="Times New Roman" w:hAnsi="Times New Roman" w:cs="Times New Roman"/>
          <w:sz w:val="24"/>
          <w:szCs w:val="24"/>
        </w:rPr>
        <w:t>Toward addressing multi dimensionality of poverty PKSF has been implementing a holistic development program named “ENRICH</w:t>
      </w:r>
      <w:r w:rsidR="00AD778A" w:rsidRPr="009C52BC">
        <w:rPr>
          <w:rFonts w:ascii="Times New Roman" w:hAnsi="Times New Roman" w:cs="Times New Roman"/>
          <w:b/>
          <w:sz w:val="24"/>
          <w:szCs w:val="24"/>
        </w:rPr>
        <w:t xml:space="preserve">” </w:t>
      </w:r>
      <w:r w:rsidR="00AD778A" w:rsidRPr="009C52BC">
        <w:rPr>
          <w:rFonts w:ascii="Times New Roman" w:hAnsi="Times New Roman" w:cs="Times New Roman"/>
          <w:sz w:val="24"/>
          <w:szCs w:val="24"/>
        </w:rPr>
        <w:t>from 2010.</w:t>
      </w:r>
      <w:r w:rsidR="00CD1146" w:rsidRPr="009C52BC">
        <w:rPr>
          <w:rFonts w:ascii="Times New Roman" w:hAnsi="Times New Roman" w:cs="Times New Roman"/>
          <w:sz w:val="24"/>
          <w:szCs w:val="24"/>
        </w:rPr>
        <w:t>The program is now active in 43 Unions and 100 more unions are going to be covered in FY2014-15. The</w:t>
      </w:r>
      <w:r w:rsidR="00AD778A" w:rsidRPr="009C52BC">
        <w:rPr>
          <w:rFonts w:ascii="Times New Roman" w:hAnsi="Times New Roman" w:cs="Times New Roman"/>
          <w:sz w:val="24"/>
          <w:szCs w:val="24"/>
        </w:rPr>
        <w:t xml:space="preserve"> program is continually evolving with changing dynamics of socio economic condition of the </w:t>
      </w:r>
      <w:r w:rsidR="00CD1146" w:rsidRPr="009C52BC">
        <w:rPr>
          <w:rFonts w:ascii="Times New Roman" w:hAnsi="Times New Roman" w:cs="Times New Roman"/>
          <w:sz w:val="24"/>
          <w:szCs w:val="24"/>
        </w:rPr>
        <w:t>country</w:t>
      </w:r>
      <w:r w:rsidR="00AD778A" w:rsidRPr="009C52BC">
        <w:rPr>
          <w:rFonts w:ascii="Times New Roman" w:hAnsi="Times New Roman" w:cs="Times New Roman"/>
          <w:sz w:val="24"/>
          <w:szCs w:val="24"/>
        </w:rPr>
        <w:t xml:space="preserve">. </w:t>
      </w:r>
    </w:p>
    <w:p w:rsidR="00CD1146" w:rsidRPr="009C52BC" w:rsidRDefault="00CD1146" w:rsidP="002F004C">
      <w:pPr>
        <w:pStyle w:val="ListParagraph"/>
        <w:tabs>
          <w:tab w:val="left" w:pos="360"/>
          <w:tab w:val="left" w:pos="810"/>
        </w:tabs>
        <w:jc w:val="both"/>
        <w:rPr>
          <w:rFonts w:ascii="Times New Roman" w:hAnsi="Times New Roman" w:cs="Times New Roman"/>
          <w:sz w:val="24"/>
          <w:szCs w:val="24"/>
        </w:rPr>
      </w:pPr>
    </w:p>
    <w:p w:rsidR="008A04DC" w:rsidRPr="009C52BC" w:rsidRDefault="00AD778A" w:rsidP="005F11F6">
      <w:pPr>
        <w:pStyle w:val="ListParagraph"/>
        <w:tabs>
          <w:tab w:val="left" w:pos="360"/>
          <w:tab w:val="left" w:pos="810"/>
        </w:tabs>
        <w:jc w:val="both"/>
        <w:rPr>
          <w:rFonts w:ascii="Times New Roman" w:hAnsi="Times New Roman" w:cs="Times New Roman"/>
          <w:sz w:val="24"/>
          <w:szCs w:val="24"/>
        </w:rPr>
      </w:pPr>
      <w:r w:rsidRPr="009C52BC">
        <w:rPr>
          <w:rFonts w:ascii="Times New Roman" w:hAnsi="Times New Roman" w:cs="Times New Roman"/>
          <w:sz w:val="24"/>
          <w:szCs w:val="24"/>
        </w:rPr>
        <w:t>Currently it</w:t>
      </w:r>
      <w:r w:rsidR="00CD1146" w:rsidRPr="009C52BC">
        <w:rPr>
          <w:rFonts w:ascii="Times New Roman" w:hAnsi="Times New Roman" w:cs="Times New Roman"/>
          <w:sz w:val="24"/>
          <w:szCs w:val="24"/>
        </w:rPr>
        <w:t xml:space="preserve"> comprises of sub programs targeted toward Education, Health, Youth Development and Employment, Community Development, Beggar Rehabilitation, Environment Friendly Stove, Medicinal Plant Cultivation, Promotion of adaptation of Vermin Compost technology etc.</w:t>
      </w:r>
    </w:p>
    <w:p w:rsidR="008A04DC" w:rsidRPr="009C52BC" w:rsidRDefault="008A04DC" w:rsidP="005F11F6">
      <w:pPr>
        <w:pStyle w:val="ListParagraph"/>
        <w:tabs>
          <w:tab w:val="left" w:pos="360"/>
          <w:tab w:val="left" w:pos="810"/>
        </w:tabs>
        <w:jc w:val="both"/>
        <w:rPr>
          <w:rFonts w:ascii="Times New Roman" w:hAnsi="Times New Roman" w:cs="Times New Roman"/>
          <w:sz w:val="24"/>
          <w:szCs w:val="24"/>
        </w:rPr>
      </w:pPr>
    </w:p>
    <w:p w:rsidR="00F63886" w:rsidRPr="009C52BC" w:rsidRDefault="00E9504F" w:rsidP="005F11F6">
      <w:pPr>
        <w:pStyle w:val="ListParagraph"/>
        <w:tabs>
          <w:tab w:val="left" w:pos="360"/>
          <w:tab w:val="left" w:pos="810"/>
        </w:tabs>
        <w:jc w:val="both"/>
        <w:rPr>
          <w:rFonts w:ascii="Times New Roman" w:hAnsi="Times New Roman" w:cs="Times New Roman"/>
          <w:sz w:val="24"/>
          <w:szCs w:val="24"/>
        </w:rPr>
      </w:pPr>
      <w:r w:rsidRPr="009C52BC">
        <w:rPr>
          <w:rFonts w:ascii="Times New Roman" w:hAnsi="Times New Roman" w:cs="Times New Roman"/>
          <w:sz w:val="24"/>
          <w:szCs w:val="24"/>
        </w:rPr>
        <w:lastRenderedPageBreak/>
        <w:t xml:space="preserve">PKSF manages its financial risks by developing a </w:t>
      </w:r>
      <w:r w:rsidR="00FB64FF" w:rsidRPr="009C52BC">
        <w:rPr>
          <w:rFonts w:ascii="Times New Roman" w:hAnsi="Times New Roman" w:cs="Times New Roman"/>
          <w:sz w:val="24"/>
          <w:szCs w:val="24"/>
        </w:rPr>
        <w:t xml:space="preserve">variety of policies, procedures and manuals. Along with these PKSF follows all Act, Laws, Rules, </w:t>
      </w:r>
      <w:proofErr w:type="gramStart"/>
      <w:r w:rsidR="00FB64FF" w:rsidRPr="009C52BC">
        <w:rPr>
          <w:rFonts w:ascii="Times New Roman" w:hAnsi="Times New Roman" w:cs="Times New Roman"/>
          <w:sz w:val="24"/>
          <w:szCs w:val="24"/>
        </w:rPr>
        <w:t>Ordinances</w:t>
      </w:r>
      <w:proofErr w:type="gramEnd"/>
      <w:r w:rsidR="00FB64FF" w:rsidRPr="009C52BC">
        <w:rPr>
          <w:rFonts w:ascii="Times New Roman" w:hAnsi="Times New Roman" w:cs="Times New Roman"/>
          <w:sz w:val="24"/>
          <w:szCs w:val="24"/>
        </w:rPr>
        <w:t xml:space="preserve"> of the Government. </w:t>
      </w:r>
    </w:p>
    <w:p w:rsidR="00F63886" w:rsidRDefault="00F63886" w:rsidP="003F10CE">
      <w:pPr>
        <w:pStyle w:val="Style"/>
        <w:numPr>
          <w:ilvl w:val="0"/>
          <w:numId w:val="18"/>
        </w:numPr>
        <w:tabs>
          <w:tab w:val="left" w:pos="360"/>
          <w:tab w:val="left" w:pos="900"/>
        </w:tabs>
        <w:spacing w:after="120"/>
        <w:jc w:val="both"/>
        <w:rPr>
          <w:rFonts w:ascii="Times New Roman" w:hAnsi="Times New Roman" w:cs="Times New Roman"/>
          <w:szCs w:val="26"/>
        </w:rPr>
      </w:pPr>
      <w:r w:rsidRPr="009C52BC">
        <w:rPr>
          <w:rFonts w:ascii="Times New Roman" w:hAnsi="Times New Roman" w:cs="Times New Roman"/>
          <w:szCs w:val="26"/>
        </w:rPr>
        <w:t>PKSF raises funds and accept donations, grants, loans or other financial assistance from any Government, private or any other sources and agencies, institutions in Bangladesh and abroad for use in work consistent with the purposes and objects of the Foundation: Provided, however, that the receipt of any such foreign loans or donations will be subject to Government approval on such terms as may be prescribed by the Government from time to time, excepting that for loans from domestic sources no such approval of the Government will be necessary.</w:t>
      </w:r>
    </w:p>
    <w:p w:rsidR="00D12DC5" w:rsidRPr="009C52BC" w:rsidRDefault="00D12DC5" w:rsidP="003F10CE">
      <w:pPr>
        <w:pStyle w:val="Style"/>
        <w:numPr>
          <w:ilvl w:val="0"/>
          <w:numId w:val="18"/>
        </w:numPr>
        <w:tabs>
          <w:tab w:val="left" w:pos="360"/>
          <w:tab w:val="left" w:pos="900"/>
        </w:tabs>
        <w:spacing w:after="120"/>
        <w:jc w:val="both"/>
        <w:rPr>
          <w:rFonts w:ascii="Times New Roman" w:hAnsi="Times New Roman" w:cs="Times New Roman"/>
          <w:szCs w:val="26"/>
        </w:rPr>
      </w:pPr>
      <w:r>
        <w:rPr>
          <w:rFonts w:ascii="Times New Roman" w:hAnsi="Times New Roman" w:cs="Times New Roman"/>
          <w:szCs w:val="26"/>
        </w:rPr>
        <w:t>PKSF finances more than 200 partner organizations (PO) which have more than 7000 branches all over the country. As a result risks associated with Partner organizations and clients are well diversified. Moreover, each PO is rated annually and only well rated POs are being financed.</w:t>
      </w:r>
      <w:bookmarkStart w:id="0" w:name="_GoBack"/>
      <w:bookmarkEnd w:id="0"/>
    </w:p>
    <w:p w:rsidR="00B57D7A" w:rsidRPr="009C52BC" w:rsidRDefault="00F63886" w:rsidP="003F10CE">
      <w:pPr>
        <w:pStyle w:val="ListParagraph"/>
        <w:numPr>
          <w:ilvl w:val="0"/>
          <w:numId w:val="18"/>
        </w:numPr>
        <w:rPr>
          <w:rFonts w:ascii="Times New Roman" w:hAnsi="Times New Roman" w:cs="Times New Roman"/>
        </w:rPr>
      </w:pPr>
      <w:r w:rsidRPr="009C52BC">
        <w:rPr>
          <w:rFonts w:ascii="Times New Roman" w:hAnsi="Times New Roman" w:cs="Times New Roman"/>
          <w:szCs w:val="26"/>
        </w:rPr>
        <w:t xml:space="preserve">PKSF is a whole sale credit organization of the country. Its credit and development activities are done by its Partners Organization (POs). </w:t>
      </w:r>
      <w:r w:rsidR="00B57D7A" w:rsidRPr="009C52BC">
        <w:rPr>
          <w:rFonts w:ascii="Times New Roman" w:hAnsi="Times New Roman" w:cs="Times New Roman"/>
          <w:szCs w:val="26"/>
        </w:rPr>
        <w:t xml:space="preserve">The authorities of </w:t>
      </w:r>
      <w:r w:rsidR="00B57D7A" w:rsidRPr="009C52BC">
        <w:rPr>
          <w:rFonts w:ascii="Times New Roman" w:hAnsi="Times New Roman" w:cs="Times New Roman"/>
        </w:rPr>
        <w:t>Financial Risk Management including asset liability management are as under:</w:t>
      </w:r>
    </w:p>
    <w:p w:rsidR="00B57D7A" w:rsidRPr="009C52BC" w:rsidRDefault="00B57D7A" w:rsidP="00B57D7A">
      <w:pPr>
        <w:pStyle w:val="Style"/>
        <w:tabs>
          <w:tab w:val="left" w:pos="540"/>
        </w:tabs>
        <w:spacing w:after="80"/>
        <w:jc w:val="both"/>
        <w:rPr>
          <w:rFonts w:ascii="Times New Roman" w:hAnsi="Times New Roman" w:cs="Times New Roman"/>
          <w:szCs w:val="26"/>
        </w:rPr>
      </w:pPr>
      <w:r w:rsidRPr="009C52BC">
        <w:rPr>
          <w:rFonts w:ascii="Times New Roman" w:hAnsi="Times New Roman" w:cs="Times New Roman"/>
          <w:szCs w:val="26"/>
        </w:rPr>
        <w:t>The following shall be the authorities of the Foundation:</w:t>
      </w:r>
    </w:p>
    <w:p w:rsidR="00B57D7A" w:rsidRPr="009C52BC" w:rsidRDefault="00B57D7A" w:rsidP="00B57D7A">
      <w:pPr>
        <w:pStyle w:val="Style"/>
        <w:tabs>
          <w:tab w:val="left" w:pos="540"/>
        </w:tabs>
        <w:ind w:left="994" w:hanging="994"/>
        <w:jc w:val="both"/>
        <w:rPr>
          <w:rFonts w:ascii="Times New Roman" w:hAnsi="Times New Roman" w:cs="Times New Roman"/>
          <w:szCs w:val="26"/>
        </w:rPr>
      </w:pPr>
      <w:r w:rsidRPr="009C52BC">
        <w:rPr>
          <w:rFonts w:ascii="Times New Roman" w:hAnsi="Times New Roman" w:cs="Times New Roman"/>
          <w:szCs w:val="26"/>
        </w:rPr>
        <w:tab/>
        <w:t>i)</w:t>
      </w:r>
      <w:r w:rsidRPr="009C52BC">
        <w:rPr>
          <w:rFonts w:ascii="Times New Roman" w:hAnsi="Times New Roman" w:cs="Times New Roman"/>
          <w:szCs w:val="26"/>
        </w:rPr>
        <w:tab/>
        <w:t>The General Body</w:t>
      </w:r>
    </w:p>
    <w:p w:rsidR="00B57D7A" w:rsidRPr="009C52BC" w:rsidRDefault="00B57D7A" w:rsidP="00B57D7A">
      <w:pPr>
        <w:pStyle w:val="Style"/>
        <w:tabs>
          <w:tab w:val="left" w:pos="540"/>
        </w:tabs>
        <w:ind w:left="994" w:hanging="994"/>
        <w:jc w:val="both"/>
        <w:rPr>
          <w:rFonts w:ascii="Times New Roman" w:hAnsi="Times New Roman" w:cs="Times New Roman"/>
          <w:szCs w:val="26"/>
        </w:rPr>
      </w:pPr>
      <w:r w:rsidRPr="009C52BC">
        <w:rPr>
          <w:rFonts w:ascii="Times New Roman" w:hAnsi="Times New Roman" w:cs="Times New Roman"/>
          <w:szCs w:val="26"/>
        </w:rPr>
        <w:tab/>
        <w:t>ii)</w:t>
      </w:r>
      <w:r w:rsidRPr="009C52BC">
        <w:rPr>
          <w:rFonts w:ascii="Times New Roman" w:hAnsi="Times New Roman" w:cs="Times New Roman"/>
          <w:szCs w:val="26"/>
        </w:rPr>
        <w:tab/>
        <w:t>The Governing Body</w:t>
      </w:r>
    </w:p>
    <w:p w:rsidR="00B57D7A" w:rsidRPr="009C52BC" w:rsidRDefault="00B57D7A" w:rsidP="00B57D7A">
      <w:pPr>
        <w:pStyle w:val="Style"/>
        <w:tabs>
          <w:tab w:val="left" w:pos="540"/>
        </w:tabs>
        <w:ind w:left="994" w:hanging="994"/>
        <w:jc w:val="both"/>
        <w:rPr>
          <w:rFonts w:ascii="Times New Roman" w:hAnsi="Times New Roman" w:cs="Times New Roman"/>
          <w:szCs w:val="26"/>
        </w:rPr>
      </w:pPr>
      <w:r w:rsidRPr="009C52BC">
        <w:rPr>
          <w:rFonts w:ascii="Times New Roman" w:hAnsi="Times New Roman" w:cs="Times New Roman"/>
          <w:szCs w:val="26"/>
        </w:rPr>
        <w:tab/>
        <w:t>iii)</w:t>
      </w:r>
      <w:r w:rsidRPr="009C52BC">
        <w:rPr>
          <w:rFonts w:ascii="Times New Roman" w:hAnsi="Times New Roman" w:cs="Times New Roman"/>
          <w:szCs w:val="26"/>
        </w:rPr>
        <w:tab/>
        <w:t>The Chairman</w:t>
      </w:r>
    </w:p>
    <w:p w:rsidR="00B57D7A" w:rsidRPr="009C52BC" w:rsidRDefault="00B57D7A" w:rsidP="00B57D7A">
      <w:pPr>
        <w:pStyle w:val="Style"/>
        <w:tabs>
          <w:tab w:val="left" w:pos="540"/>
        </w:tabs>
        <w:ind w:left="994" w:hanging="994"/>
        <w:jc w:val="both"/>
        <w:rPr>
          <w:rFonts w:ascii="Times New Roman" w:hAnsi="Times New Roman" w:cs="Times New Roman"/>
          <w:szCs w:val="26"/>
        </w:rPr>
      </w:pPr>
      <w:r w:rsidRPr="009C52BC">
        <w:rPr>
          <w:rFonts w:ascii="Times New Roman" w:hAnsi="Times New Roman" w:cs="Times New Roman"/>
          <w:szCs w:val="26"/>
        </w:rPr>
        <w:tab/>
      </w:r>
      <w:proofErr w:type="gramStart"/>
      <w:r w:rsidRPr="009C52BC">
        <w:rPr>
          <w:rFonts w:ascii="Times New Roman" w:hAnsi="Times New Roman" w:cs="Times New Roman"/>
          <w:szCs w:val="26"/>
        </w:rPr>
        <w:t>iv)</w:t>
      </w:r>
      <w:r w:rsidRPr="009C52BC">
        <w:rPr>
          <w:rFonts w:ascii="Times New Roman" w:hAnsi="Times New Roman" w:cs="Times New Roman"/>
          <w:szCs w:val="26"/>
        </w:rPr>
        <w:tab/>
        <w:t>The</w:t>
      </w:r>
      <w:proofErr w:type="gramEnd"/>
      <w:r w:rsidRPr="009C52BC">
        <w:rPr>
          <w:rFonts w:ascii="Times New Roman" w:hAnsi="Times New Roman" w:cs="Times New Roman"/>
          <w:szCs w:val="26"/>
        </w:rPr>
        <w:t xml:space="preserve"> Managing Director</w:t>
      </w:r>
    </w:p>
    <w:p w:rsidR="00B57D7A" w:rsidRPr="009C52BC" w:rsidRDefault="00B57D7A" w:rsidP="00B57D7A">
      <w:pPr>
        <w:pStyle w:val="Style"/>
        <w:tabs>
          <w:tab w:val="left" w:pos="540"/>
        </w:tabs>
        <w:spacing w:after="80"/>
        <w:ind w:left="990" w:hanging="990"/>
        <w:jc w:val="both"/>
        <w:rPr>
          <w:rFonts w:ascii="Times New Roman" w:hAnsi="Times New Roman" w:cs="Times New Roman"/>
          <w:szCs w:val="26"/>
        </w:rPr>
      </w:pPr>
      <w:r w:rsidRPr="009C52BC">
        <w:rPr>
          <w:rFonts w:ascii="Times New Roman" w:hAnsi="Times New Roman" w:cs="Times New Roman"/>
          <w:szCs w:val="26"/>
        </w:rPr>
        <w:tab/>
        <w:t>v)</w:t>
      </w:r>
      <w:r w:rsidRPr="009C52BC">
        <w:rPr>
          <w:rFonts w:ascii="Times New Roman" w:hAnsi="Times New Roman" w:cs="Times New Roman"/>
          <w:szCs w:val="26"/>
        </w:rPr>
        <w:tab/>
        <w:t>Such other bodies, committees, sub-committees or panels as may be appointed and/or constituted from time to time, by the Governing Body of the Foundation.</w:t>
      </w:r>
    </w:p>
    <w:p w:rsidR="00581B4B" w:rsidRPr="009C52BC" w:rsidRDefault="003F10CE" w:rsidP="003F10CE">
      <w:pPr>
        <w:ind w:left="720" w:hanging="720"/>
        <w:jc w:val="both"/>
        <w:rPr>
          <w:rFonts w:ascii="MyriadPro-Light" w:hAnsi="MyriadPro-Light" w:cs="MyriadPro-Light"/>
          <w:color w:val="000000"/>
          <w:sz w:val="20"/>
          <w:szCs w:val="20"/>
        </w:rPr>
      </w:pPr>
      <w:r w:rsidRPr="009C52BC">
        <w:rPr>
          <w:rFonts w:ascii="MyriadPro-Regular" w:hAnsi="MyriadPro-Regular" w:cs="MyriadPro-Regular"/>
        </w:rPr>
        <w:t>5.</w:t>
      </w:r>
      <w:r w:rsidRPr="009C52BC">
        <w:rPr>
          <w:rFonts w:ascii="MyriadPro-Regular" w:hAnsi="MyriadPro-Regular" w:cs="MyriadPro-Regular"/>
        </w:rPr>
        <w:tab/>
      </w:r>
      <w:r w:rsidR="00581B4B" w:rsidRPr="009C52BC">
        <w:rPr>
          <w:rFonts w:ascii="MyriadPro-Regular" w:hAnsi="MyriadPro-Regular" w:cs="MyriadPro-Regular"/>
        </w:rPr>
        <w:t>For better financial risk management the Governing body of PKSF segregated the responsibilities among the</w:t>
      </w:r>
      <w:r w:rsidR="00581B4B" w:rsidRPr="009C52BC">
        <w:rPr>
          <w:rFonts w:ascii="MyriadPro-Light" w:hAnsi="MyriadPro-Light" w:cs="MyriadPro-Light"/>
          <w:sz w:val="20"/>
          <w:szCs w:val="20"/>
        </w:rPr>
        <w:t xml:space="preserve"> five divisions: (1) Credit Operations and </w:t>
      </w:r>
      <w:proofErr w:type="spellStart"/>
      <w:r w:rsidR="00581B4B" w:rsidRPr="009C52BC">
        <w:rPr>
          <w:rFonts w:ascii="MyriadPro-Light" w:hAnsi="MyriadPro-Light" w:cs="MyriadPro-Light"/>
          <w:sz w:val="20"/>
          <w:szCs w:val="20"/>
        </w:rPr>
        <w:t>Programme</w:t>
      </w:r>
      <w:proofErr w:type="spellEnd"/>
      <w:r w:rsidR="00581B4B" w:rsidRPr="009C52BC">
        <w:rPr>
          <w:rFonts w:ascii="MyriadPro-Light" w:hAnsi="MyriadPro-Light" w:cs="MyriadPro-Light"/>
          <w:color w:val="000000"/>
          <w:sz w:val="20"/>
          <w:szCs w:val="20"/>
        </w:rPr>
        <w:t xml:space="preserve"> Development (2) Administration, Finance and Integrated Development (3) Credit Operations and Capacity Development (4) Audit and (5) Research. </w:t>
      </w:r>
      <w:r w:rsidR="00E86895" w:rsidRPr="009C52BC">
        <w:rPr>
          <w:rFonts w:ascii="MyriadPro-Light" w:hAnsi="MyriadPro-Light" w:cs="MyriadPro-Light"/>
          <w:color w:val="000000"/>
          <w:sz w:val="20"/>
          <w:szCs w:val="20"/>
        </w:rPr>
        <w:t>All divisional heads are responsible to report to the managing director of PKSF. Managing director is responsible to report to the Governing body and Governing body is responsible to the general Body of PKSF.</w:t>
      </w:r>
    </w:p>
    <w:p w:rsidR="00E86895" w:rsidRPr="009C52BC" w:rsidRDefault="003F10CE" w:rsidP="003F10CE">
      <w:pPr>
        <w:ind w:left="360" w:hanging="360"/>
        <w:jc w:val="both"/>
        <w:rPr>
          <w:rFonts w:ascii="MyriadPro-Light" w:hAnsi="MyriadPro-Light" w:cs="MyriadPro-Light"/>
          <w:color w:val="000000"/>
          <w:sz w:val="20"/>
          <w:szCs w:val="20"/>
        </w:rPr>
      </w:pPr>
      <w:r w:rsidRPr="009C52BC">
        <w:rPr>
          <w:rFonts w:ascii="MyriadPro-Light" w:hAnsi="MyriadPro-Light" w:cs="MyriadPro-Light"/>
          <w:color w:val="000000"/>
          <w:sz w:val="20"/>
          <w:szCs w:val="20"/>
        </w:rPr>
        <w:t>6.</w:t>
      </w:r>
      <w:r w:rsidRPr="009C52BC">
        <w:rPr>
          <w:rFonts w:ascii="MyriadPro-Light" w:hAnsi="MyriadPro-Light" w:cs="MyriadPro-Light"/>
          <w:color w:val="000000"/>
          <w:sz w:val="20"/>
          <w:szCs w:val="20"/>
        </w:rPr>
        <w:tab/>
      </w:r>
      <w:r w:rsidR="00E86895" w:rsidRPr="009C52BC">
        <w:rPr>
          <w:rFonts w:ascii="MyriadPro-Light" w:hAnsi="MyriadPro-Light" w:cs="MyriadPro-Light"/>
          <w:color w:val="000000"/>
          <w:sz w:val="20"/>
          <w:szCs w:val="20"/>
        </w:rPr>
        <w:t xml:space="preserve">From the inception of PKSF it has </w:t>
      </w:r>
      <w:r w:rsidR="000A460D" w:rsidRPr="009C52BC">
        <w:rPr>
          <w:rFonts w:ascii="MyriadPro-Light" w:hAnsi="MyriadPro-Light" w:cs="MyriadPro-Light"/>
          <w:color w:val="000000"/>
          <w:sz w:val="20"/>
          <w:szCs w:val="20"/>
        </w:rPr>
        <w:t>established</w:t>
      </w:r>
      <w:r w:rsidR="00E86895" w:rsidRPr="009C52BC">
        <w:rPr>
          <w:rFonts w:ascii="MyriadPro-Light" w:hAnsi="MyriadPro-Light" w:cs="MyriadPro-Light"/>
          <w:color w:val="000000"/>
          <w:sz w:val="20"/>
          <w:szCs w:val="20"/>
        </w:rPr>
        <w:t xml:space="preserve"> the following policies, rules, authorities</w:t>
      </w:r>
      <w:r w:rsidR="00DE301D" w:rsidRPr="009C52BC">
        <w:rPr>
          <w:rFonts w:ascii="MyriadPro-Light" w:hAnsi="MyriadPro-Light" w:cs="MyriadPro-Light"/>
          <w:color w:val="000000"/>
          <w:sz w:val="20"/>
          <w:szCs w:val="20"/>
        </w:rPr>
        <w:t>/committee</w:t>
      </w:r>
      <w:r w:rsidR="00E223E7" w:rsidRPr="009C52BC">
        <w:rPr>
          <w:rFonts w:ascii="MyriadPro-Light" w:hAnsi="MyriadPro-Light" w:cs="MyriadPro-Light"/>
          <w:color w:val="000000"/>
          <w:sz w:val="20"/>
          <w:szCs w:val="20"/>
        </w:rPr>
        <w:t>/Cell</w:t>
      </w:r>
      <w:r w:rsidRPr="009C52BC">
        <w:rPr>
          <w:rFonts w:ascii="MyriadPro-Light" w:hAnsi="MyriadPro-Light" w:cs="MyriadPro-Light"/>
          <w:color w:val="000000"/>
          <w:sz w:val="20"/>
          <w:szCs w:val="20"/>
        </w:rPr>
        <w:t xml:space="preserve">, </w:t>
      </w:r>
      <w:proofErr w:type="gramStart"/>
      <w:r w:rsidRPr="009C52BC">
        <w:rPr>
          <w:rFonts w:ascii="MyriadPro-Light" w:hAnsi="MyriadPro-Light" w:cs="MyriadPro-Light"/>
          <w:color w:val="000000"/>
          <w:sz w:val="20"/>
          <w:szCs w:val="20"/>
        </w:rPr>
        <w:t>Manual</w:t>
      </w:r>
      <w:r w:rsidR="00E223E7" w:rsidRPr="009C52BC">
        <w:rPr>
          <w:rFonts w:ascii="MyriadPro-Light" w:hAnsi="MyriadPro-Light" w:cs="MyriadPro-Light"/>
          <w:color w:val="000000"/>
          <w:sz w:val="20"/>
          <w:szCs w:val="20"/>
        </w:rPr>
        <w:t xml:space="preserve"> </w:t>
      </w:r>
      <w:r w:rsidR="00E86895" w:rsidRPr="009C52BC">
        <w:rPr>
          <w:rFonts w:ascii="MyriadPro-Light" w:hAnsi="MyriadPro-Light" w:cs="MyriadPro-Light"/>
          <w:color w:val="000000"/>
          <w:sz w:val="20"/>
          <w:szCs w:val="20"/>
        </w:rPr>
        <w:t xml:space="preserve"> to</w:t>
      </w:r>
      <w:proofErr w:type="gramEnd"/>
      <w:r w:rsidR="00E86895" w:rsidRPr="009C52BC">
        <w:rPr>
          <w:rFonts w:ascii="MyriadPro-Light" w:hAnsi="MyriadPro-Light" w:cs="MyriadPro-Light"/>
          <w:color w:val="000000"/>
          <w:sz w:val="20"/>
          <w:szCs w:val="20"/>
        </w:rPr>
        <w:t xml:space="preserve"> manage financial risk</w:t>
      </w:r>
      <w:r w:rsidR="00032D51" w:rsidRPr="009C52BC">
        <w:rPr>
          <w:rFonts w:ascii="MyriadPro-Light" w:hAnsi="MyriadPro-Light" w:cs="MyriadPro-Light"/>
          <w:color w:val="000000"/>
          <w:sz w:val="20"/>
          <w:szCs w:val="20"/>
        </w:rPr>
        <w:t xml:space="preserve"> and got approval from the competent authority</w:t>
      </w:r>
      <w:r w:rsidR="00E86895" w:rsidRPr="009C52BC">
        <w:rPr>
          <w:rFonts w:ascii="MyriadPro-Light" w:hAnsi="MyriadPro-Light" w:cs="MyriadPro-Light"/>
          <w:color w:val="000000"/>
          <w:sz w:val="20"/>
          <w:szCs w:val="20"/>
        </w:rPr>
        <w:t>:</w:t>
      </w:r>
    </w:p>
    <w:p w:rsidR="000A460D" w:rsidRPr="009C52BC" w:rsidRDefault="00032D51" w:rsidP="00E86895">
      <w:pPr>
        <w:pStyle w:val="ListParagraph"/>
        <w:numPr>
          <w:ilvl w:val="0"/>
          <w:numId w:val="28"/>
        </w:numPr>
        <w:jc w:val="both"/>
        <w:rPr>
          <w:rFonts w:ascii="MyriadPro-Light" w:hAnsi="MyriadPro-Light" w:cs="MyriadPro-Light"/>
          <w:color w:val="000000"/>
          <w:sz w:val="20"/>
          <w:szCs w:val="20"/>
        </w:rPr>
      </w:pPr>
      <w:r w:rsidRPr="009C52BC">
        <w:rPr>
          <w:rFonts w:ascii="MyriadPro-Light" w:hAnsi="MyriadPro-Light" w:cs="MyriadPro-Light"/>
          <w:color w:val="000000"/>
          <w:sz w:val="20"/>
          <w:szCs w:val="20"/>
        </w:rPr>
        <w:t>Delegation of Administrative and Financial Authority</w:t>
      </w:r>
    </w:p>
    <w:p w:rsidR="00DE301D" w:rsidRPr="009C52BC" w:rsidRDefault="00DE301D" w:rsidP="00DE301D">
      <w:pPr>
        <w:pStyle w:val="ListParagraph"/>
        <w:numPr>
          <w:ilvl w:val="0"/>
          <w:numId w:val="28"/>
        </w:numPr>
        <w:jc w:val="both"/>
        <w:rPr>
          <w:rFonts w:ascii="Times New Roman" w:hAnsi="Times New Roman" w:cs="Times New Roman"/>
          <w:i/>
          <w:sz w:val="24"/>
          <w:szCs w:val="24"/>
        </w:rPr>
      </w:pPr>
      <w:r w:rsidRPr="009C52BC">
        <w:rPr>
          <w:rFonts w:ascii="Times New Roman" w:hAnsi="Times New Roman" w:cs="Times New Roman"/>
          <w:i/>
          <w:sz w:val="24"/>
          <w:szCs w:val="24"/>
        </w:rPr>
        <w:t>Audit Committee</w:t>
      </w:r>
    </w:p>
    <w:p w:rsidR="00DE301D" w:rsidRPr="009C52BC" w:rsidRDefault="00DE301D" w:rsidP="00DE301D">
      <w:pPr>
        <w:pStyle w:val="ListParagraph"/>
        <w:numPr>
          <w:ilvl w:val="0"/>
          <w:numId w:val="28"/>
        </w:numPr>
        <w:jc w:val="both"/>
        <w:rPr>
          <w:rFonts w:ascii="Times New Roman" w:hAnsi="Times New Roman" w:cs="Times New Roman"/>
          <w:i/>
          <w:sz w:val="24"/>
          <w:szCs w:val="24"/>
        </w:rPr>
      </w:pPr>
      <w:r w:rsidRPr="009C52BC">
        <w:rPr>
          <w:rFonts w:ascii="Times New Roman" w:hAnsi="Times New Roman" w:cs="Times New Roman"/>
          <w:i/>
          <w:sz w:val="24"/>
          <w:szCs w:val="24"/>
        </w:rPr>
        <w:t>Senior Management Team</w:t>
      </w:r>
    </w:p>
    <w:p w:rsidR="00DE301D" w:rsidRPr="009C52BC" w:rsidRDefault="00DE301D" w:rsidP="00DE301D">
      <w:pPr>
        <w:pStyle w:val="ListParagraph"/>
        <w:numPr>
          <w:ilvl w:val="0"/>
          <w:numId w:val="28"/>
        </w:numPr>
        <w:jc w:val="both"/>
        <w:rPr>
          <w:rFonts w:ascii="Times New Roman" w:hAnsi="Times New Roman" w:cs="Times New Roman"/>
          <w:i/>
          <w:sz w:val="24"/>
          <w:szCs w:val="24"/>
        </w:rPr>
      </w:pPr>
      <w:r w:rsidRPr="009C52BC">
        <w:rPr>
          <w:rFonts w:ascii="Times New Roman" w:hAnsi="Times New Roman" w:cs="Times New Roman"/>
          <w:i/>
          <w:sz w:val="24"/>
          <w:szCs w:val="24"/>
        </w:rPr>
        <w:t>Loan Committee</w:t>
      </w:r>
    </w:p>
    <w:p w:rsidR="00DE301D" w:rsidRPr="009C52BC" w:rsidRDefault="00DE301D" w:rsidP="00DE301D">
      <w:pPr>
        <w:pStyle w:val="ListParagraph"/>
        <w:numPr>
          <w:ilvl w:val="0"/>
          <w:numId w:val="28"/>
        </w:numPr>
        <w:jc w:val="both"/>
        <w:rPr>
          <w:rFonts w:ascii="Times New Roman" w:hAnsi="Times New Roman" w:cs="Times New Roman"/>
          <w:i/>
          <w:sz w:val="24"/>
          <w:szCs w:val="24"/>
        </w:rPr>
      </w:pPr>
      <w:r w:rsidRPr="009C52BC">
        <w:rPr>
          <w:rFonts w:ascii="Times New Roman" w:hAnsi="Times New Roman" w:cs="Times New Roman"/>
          <w:i/>
          <w:sz w:val="24"/>
          <w:szCs w:val="24"/>
        </w:rPr>
        <w:t>Panel Leader’s Forum</w:t>
      </w:r>
    </w:p>
    <w:p w:rsidR="00DE301D" w:rsidRPr="009C52BC" w:rsidRDefault="00DE301D" w:rsidP="00DE301D">
      <w:pPr>
        <w:pStyle w:val="ListParagraph"/>
        <w:numPr>
          <w:ilvl w:val="0"/>
          <w:numId w:val="28"/>
        </w:numPr>
        <w:jc w:val="both"/>
        <w:rPr>
          <w:rFonts w:ascii="Times New Roman" w:hAnsi="Times New Roman" w:cs="Times New Roman"/>
          <w:i/>
          <w:sz w:val="24"/>
          <w:szCs w:val="24"/>
        </w:rPr>
      </w:pPr>
      <w:r w:rsidRPr="009C52BC">
        <w:rPr>
          <w:rFonts w:ascii="Times New Roman" w:hAnsi="Times New Roman" w:cs="Times New Roman"/>
          <w:i/>
          <w:sz w:val="24"/>
          <w:szCs w:val="24"/>
        </w:rPr>
        <w:t>Investment Committee</w:t>
      </w:r>
    </w:p>
    <w:p w:rsidR="00DE301D" w:rsidRPr="009C52BC" w:rsidRDefault="00DE301D" w:rsidP="00DE301D">
      <w:pPr>
        <w:pStyle w:val="ListParagraph"/>
        <w:numPr>
          <w:ilvl w:val="0"/>
          <w:numId w:val="28"/>
        </w:numPr>
        <w:rPr>
          <w:rFonts w:ascii="Times New Roman" w:hAnsi="Times New Roman" w:cs="Times New Roman"/>
          <w:sz w:val="24"/>
          <w:szCs w:val="24"/>
        </w:rPr>
      </w:pPr>
      <w:r w:rsidRPr="009C52BC">
        <w:rPr>
          <w:rFonts w:ascii="Times New Roman" w:hAnsi="Times New Roman" w:cs="Times New Roman"/>
          <w:sz w:val="24"/>
          <w:szCs w:val="24"/>
        </w:rPr>
        <w:t>Investment Policy</w:t>
      </w:r>
    </w:p>
    <w:p w:rsidR="00DE301D" w:rsidRPr="009C52BC" w:rsidRDefault="00DE301D" w:rsidP="00E86895">
      <w:pPr>
        <w:pStyle w:val="ListParagraph"/>
        <w:numPr>
          <w:ilvl w:val="0"/>
          <w:numId w:val="28"/>
        </w:numPr>
        <w:jc w:val="both"/>
        <w:rPr>
          <w:rFonts w:ascii="MyriadPro-Light" w:hAnsi="MyriadPro-Light" w:cs="MyriadPro-Light"/>
          <w:color w:val="000000"/>
          <w:sz w:val="20"/>
          <w:szCs w:val="20"/>
        </w:rPr>
      </w:pPr>
      <w:r w:rsidRPr="009C52BC">
        <w:rPr>
          <w:rFonts w:ascii="MyriadPro-Light" w:hAnsi="MyriadPro-Light" w:cs="MyriadPro-Light"/>
          <w:color w:val="000000"/>
          <w:sz w:val="20"/>
          <w:szCs w:val="20"/>
        </w:rPr>
        <w:t>Procurement policy</w:t>
      </w:r>
    </w:p>
    <w:p w:rsidR="00250144" w:rsidRPr="009C52BC" w:rsidRDefault="00250144" w:rsidP="00E86895">
      <w:pPr>
        <w:pStyle w:val="ListParagraph"/>
        <w:numPr>
          <w:ilvl w:val="0"/>
          <w:numId w:val="28"/>
        </w:numPr>
        <w:jc w:val="both"/>
        <w:rPr>
          <w:rFonts w:ascii="MyriadPro-Light" w:hAnsi="MyriadPro-Light" w:cs="MyriadPro-Light"/>
          <w:color w:val="000000"/>
          <w:sz w:val="20"/>
          <w:szCs w:val="20"/>
        </w:rPr>
      </w:pPr>
      <w:r w:rsidRPr="009C52BC">
        <w:rPr>
          <w:rFonts w:ascii="MyriadPro-Light" w:hAnsi="MyriadPro-Light" w:cs="MyriadPro-Light"/>
          <w:color w:val="000000"/>
          <w:sz w:val="20"/>
          <w:szCs w:val="20"/>
        </w:rPr>
        <w:t>Loan Loss Policy</w:t>
      </w:r>
    </w:p>
    <w:p w:rsidR="00DE301D" w:rsidRPr="009C52BC" w:rsidRDefault="00DE301D" w:rsidP="00E86895">
      <w:pPr>
        <w:pStyle w:val="ListParagraph"/>
        <w:numPr>
          <w:ilvl w:val="0"/>
          <w:numId w:val="28"/>
        </w:numPr>
        <w:jc w:val="both"/>
        <w:rPr>
          <w:rFonts w:ascii="MyriadPro-Light" w:hAnsi="MyriadPro-Light" w:cs="MyriadPro-Light"/>
          <w:color w:val="000000"/>
          <w:sz w:val="20"/>
          <w:szCs w:val="20"/>
        </w:rPr>
      </w:pPr>
      <w:r w:rsidRPr="009C52BC">
        <w:rPr>
          <w:rFonts w:ascii="Times New Roman" w:hAnsi="Times New Roman" w:cs="Times New Roman"/>
          <w:sz w:val="24"/>
          <w:szCs w:val="24"/>
        </w:rPr>
        <w:t>Internal Audit Policy</w:t>
      </w:r>
    </w:p>
    <w:p w:rsidR="00DE301D" w:rsidRPr="009C52BC" w:rsidRDefault="00DE301D" w:rsidP="00E86895">
      <w:pPr>
        <w:pStyle w:val="ListParagraph"/>
        <w:numPr>
          <w:ilvl w:val="0"/>
          <w:numId w:val="28"/>
        </w:numPr>
        <w:jc w:val="both"/>
        <w:rPr>
          <w:rFonts w:ascii="MyriadPro-Light" w:hAnsi="MyriadPro-Light" w:cs="MyriadPro-Light"/>
          <w:color w:val="000000"/>
          <w:sz w:val="20"/>
          <w:szCs w:val="20"/>
        </w:rPr>
      </w:pPr>
      <w:r w:rsidRPr="009C52BC">
        <w:rPr>
          <w:rFonts w:ascii="Times New Roman" w:hAnsi="Times New Roman" w:cs="Times New Roman"/>
          <w:sz w:val="24"/>
          <w:szCs w:val="24"/>
        </w:rPr>
        <w:t xml:space="preserve">External Auditor Appointment Committee </w:t>
      </w:r>
    </w:p>
    <w:p w:rsidR="00DE301D" w:rsidRPr="009C52BC" w:rsidRDefault="00DE301D" w:rsidP="00DE301D">
      <w:pPr>
        <w:pStyle w:val="ListParagraph"/>
        <w:widowControl w:val="0"/>
        <w:numPr>
          <w:ilvl w:val="0"/>
          <w:numId w:val="28"/>
        </w:numPr>
        <w:autoSpaceDE w:val="0"/>
        <w:autoSpaceDN w:val="0"/>
        <w:adjustRightInd w:val="0"/>
        <w:jc w:val="both"/>
        <w:rPr>
          <w:rFonts w:ascii="Times New Roman" w:hAnsi="Times New Roman" w:cs="Times New Roman"/>
          <w:sz w:val="24"/>
          <w:szCs w:val="24"/>
        </w:rPr>
      </w:pPr>
      <w:r w:rsidRPr="009C52BC">
        <w:rPr>
          <w:rFonts w:ascii="Times New Roman" w:hAnsi="Times New Roman" w:cs="Times New Roman"/>
          <w:sz w:val="24"/>
          <w:szCs w:val="24"/>
        </w:rPr>
        <w:lastRenderedPageBreak/>
        <w:t>Integrity Committee guidelines</w:t>
      </w:r>
    </w:p>
    <w:p w:rsidR="00E223E7" w:rsidRPr="009C52BC" w:rsidRDefault="00E223E7" w:rsidP="00DE301D">
      <w:pPr>
        <w:pStyle w:val="ListParagraph"/>
        <w:widowControl w:val="0"/>
        <w:numPr>
          <w:ilvl w:val="0"/>
          <w:numId w:val="28"/>
        </w:numPr>
        <w:autoSpaceDE w:val="0"/>
        <w:autoSpaceDN w:val="0"/>
        <w:adjustRightInd w:val="0"/>
        <w:jc w:val="both"/>
        <w:rPr>
          <w:rFonts w:ascii="Times New Roman" w:hAnsi="Times New Roman" w:cs="Times New Roman"/>
          <w:sz w:val="24"/>
          <w:szCs w:val="24"/>
        </w:rPr>
      </w:pPr>
      <w:r w:rsidRPr="009C52BC">
        <w:rPr>
          <w:rFonts w:ascii="Times New Roman" w:hAnsi="Times New Roman" w:cs="Times New Roman"/>
          <w:sz w:val="24"/>
          <w:szCs w:val="24"/>
        </w:rPr>
        <w:t xml:space="preserve">Separate Legal Cell. </w:t>
      </w:r>
    </w:p>
    <w:p w:rsidR="003F10CE" w:rsidRPr="009C52BC" w:rsidRDefault="003F10CE" w:rsidP="00DE301D">
      <w:pPr>
        <w:pStyle w:val="ListParagraph"/>
        <w:widowControl w:val="0"/>
        <w:numPr>
          <w:ilvl w:val="0"/>
          <w:numId w:val="28"/>
        </w:numPr>
        <w:autoSpaceDE w:val="0"/>
        <w:autoSpaceDN w:val="0"/>
        <w:adjustRightInd w:val="0"/>
        <w:jc w:val="both"/>
        <w:rPr>
          <w:rFonts w:ascii="Times New Roman" w:hAnsi="Times New Roman" w:cs="Times New Roman"/>
          <w:sz w:val="24"/>
          <w:szCs w:val="24"/>
        </w:rPr>
      </w:pPr>
      <w:r w:rsidRPr="009C52BC">
        <w:rPr>
          <w:rFonts w:ascii="Times New Roman" w:hAnsi="Times New Roman" w:cs="Times New Roman"/>
          <w:sz w:val="24"/>
          <w:szCs w:val="24"/>
        </w:rPr>
        <w:t>Accounting Manual</w:t>
      </w:r>
    </w:p>
    <w:p w:rsidR="002F5040" w:rsidRPr="003E61E7" w:rsidRDefault="003F10CE" w:rsidP="003E61E7">
      <w:pPr>
        <w:pStyle w:val="ListParagraph"/>
        <w:widowControl w:val="0"/>
        <w:numPr>
          <w:ilvl w:val="0"/>
          <w:numId w:val="28"/>
        </w:numPr>
        <w:autoSpaceDE w:val="0"/>
        <w:autoSpaceDN w:val="0"/>
        <w:adjustRightInd w:val="0"/>
        <w:jc w:val="both"/>
        <w:rPr>
          <w:rFonts w:ascii="Times New Roman" w:hAnsi="Times New Roman" w:cs="Times New Roman"/>
          <w:sz w:val="24"/>
          <w:szCs w:val="24"/>
        </w:rPr>
      </w:pPr>
      <w:r w:rsidRPr="009C52BC">
        <w:rPr>
          <w:rFonts w:ascii="Times New Roman" w:hAnsi="Times New Roman" w:cs="Times New Roman"/>
          <w:sz w:val="24"/>
          <w:szCs w:val="24"/>
        </w:rPr>
        <w:t>Audit Manual.</w:t>
      </w:r>
    </w:p>
    <w:p w:rsidR="002F5040" w:rsidRPr="009C52BC" w:rsidRDefault="002F5040" w:rsidP="008E3C68">
      <w:pPr>
        <w:tabs>
          <w:tab w:val="left" w:pos="0"/>
        </w:tabs>
        <w:spacing w:before="60" w:after="60"/>
        <w:rPr>
          <w:rFonts w:ascii="Times New Roman" w:hAnsi="Times New Roman" w:cs="Times New Roman"/>
        </w:rPr>
      </w:pPr>
    </w:p>
    <w:p w:rsidR="00DE301D" w:rsidRPr="00B15E95" w:rsidRDefault="003F10CE" w:rsidP="008E3C68">
      <w:pPr>
        <w:tabs>
          <w:tab w:val="left" w:pos="0"/>
        </w:tabs>
        <w:spacing w:before="60" w:after="60"/>
        <w:rPr>
          <w:rFonts w:ascii="Times New Roman" w:hAnsi="Times New Roman" w:cs="Times New Roman"/>
          <w:b/>
          <w:sz w:val="28"/>
          <w:szCs w:val="28"/>
        </w:rPr>
      </w:pPr>
      <w:r w:rsidRPr="00B15E95">
        <w:rPr>
          <w:rFonts w:ascii="Times New Roman" w:hAnsi="Times New Roman" w:cs="Times New Roman"/>
          <w:b/>
          <w:sz w:val="28"/>
          <w:szCs w:val="28"/>
        </w:rPr>
        <w:t>7.</w:t>
      </w:r>
      <w:r w:rsidRPr="00B15E95">
        <w:rPr>
          <w:rFonts w:ascii="Times New Roman" w:hAnsi="Times New Roman" w:cs="Times New Roman"/>
          <w:b/>
          <w:sz w:val="28"/>
          <w:szCs w:val="28"/>
        </w:rPr>
        <w:tab/>
      </w:r>
      <w:r w:rsidR="00250144" w:rsidRPr="00B15E95">
        <w:rPr>
          <w:rFonts w:ascii="Times New Roman" w:hAnsi="Times New Roman" w:cs="Times New Roman"/>
          <w:b/>
          <w:sz w:val="28"/>
          <w:szCs w:val="28"/>
        </w:rPr>
        <w:t>Asset liability Management:</w:t>
      </w:r>
    </w:p>
    <w:p w:rsidR="00250144" w:rsidRDefault="00250144" w:rsidP="003F10CE">
      <w:pPr>
        <w:tabs>
          <w:tab w:val="left" w:pos="0"/>
        </w:tabs>
        <w:spacing w:before="60" w:after="60"/>
        <w:ind w:left="720"/>
        <w:rPr>
          <w:rFonts w:ascii="Times New Roman" w:hAnsi="Times New Roman" w:cs="Times New Roman"/>
        </w:rPr>
      </w:pPr>
      <w:r w:rsidRPr="009C52BC">
        <w:rPr>
          <w:rFonts w:ascii="Times New Roman" w:hAnsi="Times New Roman" w:cs="Times New Roman"/>
        </w:rPr>
        <w:t xml:space="preserve">All assets and liabilities of PKSF are managed by its administration and finance department. </w:t>
      </w:r>
      <w:r w:rsidR="002F5040" w:rsidRPr="009C52BC">
        <w:rPr>
          <w:rFonts w:ascii="Times New Roman" w:hAnsi="Times New Roman" w:cs="Times New Roman"/>
        </w:rPr>
        <w:t xml:space="preserve">PKSF’s Governing Body Acts as </w:t>
      </w:r>
      <w:proofErr w:type="gramStart"/>
      <w:r w:rsidR="002F5040" w:rsidRPr="009C52BC">
        <w:rPr>
          <w:rFonts w:ascii="Times New Roman" w:hAnsi="Times New Roman" w:cs="Times New Roman"/>
        </w:rPr>
        <w:t>an  Assets</w:t>
      </w:r>
      <w:proofErr w:type="gramEnd"/>
      <w:r w:rsidR="002F5040" w:rsidRPr="009C52BC">
        <w:rPr>
          <w:rFonts w:ascii="Times New Roman" w:hAnsi="Times New Roman" w:cs="Times New Roman"/>
        </w:rPr>
        <w:t xml:space="preserve"> and liabilities  committee of the organization. Moreover </w:t>
      </w:r>
      <w:r w:rsidRPr="009C52BC">
        <w:rPr>
          <w:rFonts w:ascii="Times New Roman" w:hAnsi="Times New Roman" w:cs="Times New Roman"/>
        </w:rPr>
        <w:t>Annual inventory is done by a separate Inventory Undertaking Committee each year.</w:t>
      </w:r>
      <w:r w:rsidRPr="008E3C68">
        <w:rPr>
          <w:rFonts w:ascii="Times New Roman" w:hAnsi="Times New Roman" w:cs="Times New Roman"/>
        </w:rPr>
        <w:t xml:space="preserve">  </w:t>
      </w:r>
    </w:p>
    <w:p w:rsidR="00CD364A" w:rsidRPr="00CD364A" w:rsidRDefault="00CD364A" w:rsidP="00CD364A">
      <w:pPr>
        <w:pStyle w:val="Style"/>
        <w:spacing w:after="100" w:line="260" w:lineRule="exact"/>
        <w:ind w:left="720"/>
        <w:jc w:val="both"/>
        <w:rPr>
          <w:rFonts w:ascii="Times New Roman" w:hAnsi="Times New Roman" w:cs="Times New Roman"/>
          <w:sz w:val="22"/>
          <w:szCs w:val="22"/>
        </w:rPr>
      </w:pPr>
      <w:r w:rsidRPr="00CD364A">
        <w:rPr>
          <w:rFonts w:ascii="Times New Roman" w:hAnsi="Times New Roman" w:cs="Times New Roman"/>
          <w:bCs/>
          <w:sz w:val="22"/>
          <w:szCs w:val="22"/>
        </w:rPr>
        <w:t>Moreover in accordance of the Article of Association of the resources o the foundation is managing in the following manner:</w:t>
      </w:r>
    </w:p>
    <w:p w:rsidR="00CD364A" w:rsidRDefault="00CD364A" w:rsidP="00CD364A">
      <w:pPr>
        <w:pStyle w:val="Style"/>
        <w:tabs>
          <w:tab w:val="left" w:pos="540"/>
        </w:tabs>
        <w:spacing w:after="100" w:line="260" w:lineRule="exact"/>
        <w:jc w:val="both"/>
        <w:rPr>
          <w:rFonts w:ascii="Times New Roman" w:hAnsi="Times New Roman" w:cs="Times New Roman"/>
          <w:szCs w:val="26"/>
        </w:rPr>
      </w:pPr>
      <w:r>
        <w:rPr>
          <w:rFonts w:ascii="Times New Roman" w:hAnsi="Times New Roman" w:cs="Times New Roman"/>
          <w:szCs w:val="26"/>
        </w:rPr>
        <w:t>.</w:t>
      </w:r>
      <w:r>
        <w:rPr>
          <w:rFonts w:ascii="Times New Roman" w:hAnsi="Times New Roman" w:cs="Times New Roman"/>
          <w:szCs w:val="26"/>
        </w:rPr>
        <w:tab/>
        <w:t>The resources of the Foundation shall consist of the following:</w:t>
      </w:r>
    </w:p>
    <w:p w:rsidR="00CD364A" w:rsidRDefault="00CD364A" w:rsidP="00CD364A">
      <w:pPr>
        <w:pStyle w:val="Style"/>
        <w:tabs>
          <w:tab w:val="left" w:pos="540"/>
        </w:tabs>
        <w:spacing w:after="100" w:line="260" w:lineRule="exact"/>
        <w:ind w:left="990" w:hanging="990"/>
        <w:jc w:val="both"/>
        <w:rPr>
          <w:rFonts w:ascii="Times New Roman" w:hAnsi="Times New Roman" w:cs="Times New Roman"/>
          <w:szCs w:val="26"/>
        </w:rPr>
      </w:pPr>
      <w:r>
        <w:rPr>
          <w:rFonts w:ascii="Times New Roman" w:hAnsi="Times New Roman" w:cs="Times New Roman"/>
          <w:szCs w:val="26"/>
        </w:rPr>
        <w:tab/>
        <w:t>a)</w:t>
      </w:r>
      <w:r>
        <w:rPr>
          <w:rFonts w:ascii="Times New Roman" w:hAnsi="Times New Roman" w:cs="Times New Roman"/>
          <w:szCs w:val="26"/>
        </w:rPr>
        <w:tab/>
      </w:r>
      <w:proofErr w:type="gramStart"/>
      <w:r>
        <w:rPr>
          <w:rFonts w:ascii="Times New Roman" w:hAnsi="Times New Roman" w:cs="Times New Roman"/>
          <w:szCs w:val="26"/>
        </w:rPr>
        <w:t>grants</w:t>
      </w:r>
      <w:proofErr w:type="gramEnd"/>
      <w:r>
        <w:rPr>
          <w:rFonts w:ascii="Times New Roman" w:hAnsi="Times New Roman" w:cs="Times New Roman"/>
          <w:szCs w:val="26"/>
        </w:rPr>
        <w:t xml:space="preserve"> made by the Government;</w:t>
      </w:r>
    </w:p>
    <w:p w:rsidR="00CD364A" w:rsidRDefault="00CD364A" w:rsidP="00CD364A">
      <w:pPr>
        <w:pStyle w:val="Style"/>
        <w:tabs>
          <w:tab w:val="left" w:pos="540"/>
        </w:tabs>
        <w:spacing w:after="100" w:line="260" w:lineRule="exact"/>
        <w:ind w:left="990" w:hanging="990"/>
        <w:jc w:val="both"/>
        <w:rPr>
          <w:rFonts w:ascii="Times New Roman" w:hAnsi="Times New Roman" w:cs="Times New Roman"/>
          <w:szCs w:val="26"/>
        </w:rPr>
      </w:pPr>
      <w:r>
        <w:rPr>
          <w:rFonts w:ascii="Times New Roman" w:hAnsi="Times New Roman" w:cs="Times New Roman"/>
          <w:szCs w:val="26"/>
        </w:rPr>
        <w:tab/>
        <w:t>b)</w:t>
      </w:r>
      <w:r>
        <w:rPr>
          <w:rFonts w:ascii="Times New Roman" w:hAnsi="Times New Roman" w:cs="Times New Roman"/>
          <w:szCs w:val="26"/>
        </w:rPr>
        <w:tab/>
        <w:t>funds and donations, grants, loans or other financial assistance from any Government, private or any other sources and agencies, or institutions in Bangladesh and abroad for use in work consistent with the purposes and objects of the Foundation, provided, however, that the receipt of any such foreign loans or donations will be subject to such procedures as may be prescribed by the Government from time to time.</w:t>
      </w:r>
    </w:p>
    <w:p w:rsidR="00CD364A" w:rsidRDefault="00CD364A" w:rsidP="00CD364A">
      <w:pPr>
        <w:pStyle w:val="Style"/>
        <w:tabs>
          <w:tab w:val="left" w:pos="540"/>
        </w:tabs>
        <w:spacing w:after="100" w:line="260" w:lineRule="exact"/>
        <w:ind w:left="990" w:hanging="990"/>
        <w:jc w:val="both"/>
        <w:rPr>
          <w:rFonts w:ascii="Times New Roman" w:hAnsi="Times New Roman" w:cs="Times New Roman"/>
          <w:szCs w:val="26"/>
        </w:rPr>
      </w:pPr>
      <w:r>
        <w:rPr>
          <w:rFonts w:ascii="Times New Roman" w:hAnsi="Times New Roman" w:cs="Times New Roman"/>
          <w:szCs w:val="26"/>
        </w:rPr>
        <w:tab/>
        <w:t>c)</w:t>
      </w:r>
      <w:r>
        <w:rPr>
          <w:rFonts w:ascii="Times New Roman" w:hAnsi="Times New Roman" w:cs="Times New Roman"/>
          <w:szCs w:val="26"/>
        </w:rPr>
        <w:tab/>
      </w:r>
      <w:proofErr w:type="gramStart"/>
      <w:r>
        <w:rPr>
          <w:rFonts w:ascii="Times New Roman" w:hAnsi="Times New Roman" w:cs="Times New Roman"/>
          <w:szCs w:val="26"/>
        </w:rPr>
        <w:t>fees</w:t>
      </w:r>
      <w:proofErr w:type="gramEnd"/>
      <w:r>
        <w:rPr>
          <w:rFonts w:ascii="Times New Roman" w:hAnsi="Times New Roman" w:cs="Times New Roman"/>
          <w:szCs w:val="26"/>
        </w:rPr>
        <w:t xml:space="preserve"> and charges imposed by the Foundation for services rendered by it;</w:t>
      </w:r>
    </w:p>
    <w:p w:rsidR="00CD364A" w:rsidRDefault="00CD364A" w:rsidP="00CD364A">
      <w:pPr>
        <w:pStyle w:val="Style"/>
        <w:tabs>
          <w:tab w:val="left" w:pos="540"/>
        </w:tabs>
        <w:spacing w:after="100" w:line="260" w:lineRule="exact"/>
        <w:ind w:left="990" w:hanging="990"/>
        <w:jc w:val="both"/>
        <w:rPr>
          <w:rFonts w:ascii="Times New Roman" w:hAnsi="Times New Roman" w:cs="Times New Roman"/>
          <w:szCs w:val="26"/>
        </w:rPr>
      </w:pPr>
      <w:r>
        <w:rPr>
          <w:rFonts w:ascii="Times New Roman" w:hAnsi="Times New Roman" w:cs="Times New Roman"/>
          <w:szCs w:val="26"/>
        </w:rPr>
        <w:tab/>
        <w:t>d)</w:t>
      </w:r>
      <w:r>
        <w:rPr>
          <w:rFonts w:ascii="Times New Roman" w:hAnsi="Times New Roman" w:cs="Times New Roman"/>
          <w:szCs w:val="26"/>
        </w:rPr>
        <w:tab/>
      </w:r>
      <w:proofErr w:type="gramStart"/>
      <w:r>
        <w:rPr>
          <w:rFonts w:ascii="Times New Roman" w:hAnsi="Times New Roman" w:cs="Times New Roman"/>
          <w:szCs w:val="26"/>
        </w:rPr>
        <w:t>income</w:t>
      </w:r>
      <w:proofErr w:type="gramEnd"/>
      <w:r>
        <w:rPr>
          <w:rFonts w:ascii="Times New Roman" w:hAnsi="Times New Roman" w:cs="Times New Roman"/>
          <w:szCs w:val="26"/>
        </w:rPr>
        <w:t xml:space="preserve"> from investments; and</w:t>
      </w:r>
    </w:p>
    <w:p w:rsidR="00CD364A" w:rsidRDefault="00CD364A" w:rsidP="00CD364A">
      <w:pPr>
        <w:pStyle w:val="Style"/>
        <w:tabs>
          <w:tab w:val="left" w:pos="540"/>
        </w:tabs>
        <w:spacing w:after="100" w:line="260" w:lineRule="exact"/>
        <w:ind w:left="990" w:hanging="990"/>
        <w:jc w:val="both"/>
        <w:rPr>
          <w:rFonts w:ascii="Times New Roman" w:hAnsi="Times New Roman" w:cs="Times New Roman"/>
          <w:szCs w:val="26"/>
        </w:rPr>
      </w:pPr>
      <w:r>
        <w:rPr>
          <w:rFonts w:ascii="Times New Roman" w:hAnsi="Times New Roman" w:cs="Times New Roman"/>
          <w:szCs w:val="26"/>
        </w:rPr>
        <w:tab/>
        <w:t>e)</w:t>
      </w:r>
      <w:r>
        <w:rPr>
          <w:rFonts w:ascii="Times New Roman" w:hAnsi="Times New Roman" w:cs="Times New Roman"/>
          <w:szCs w:val="26"/>
        </w:rPr>
        <w:tab/>
      </w:r>
      <w:proofErr w:type="gramStart"/>
      <w:r>
        <w:rPr>
          <w:rFonts w:ascii="Times New Roman" w:hAnsi="Times New Roman" w:cs="Times New Roman"/>
          <w:szCs w:val="26"/>
        </w:rPr>
        <w:t>income</w:t>
      </w:r>
      <w:proofErr w:type="gramEnd"/>
      <w:r>
        <w:rPr>
          <w:rFonts w:ascii="Times New Roman" w:hAnsi="Times New Roman" w:cs="Times New Roman"/>
          <w:szCs w:val="26"/>
        </w:rPr>
        <w:t xml:space="preserve"> and receipts from other sources.</w:t>
      </w:r>
    </w:p>
    <w:p w:rsidR="00CD364A" w:rsidRDefault="00CD364A" w:rsidP="00CD364A">
      <w:pPr>
        <w:pStyle w:val="Style"/>
        <w:tabs>
          <w:tab w:val="left" w:pos="540"/>
        </w:tabs>
        <w:spacing w:after="100" w:line="260" w:lineRule="exact"/>
        <w:jc w:val="both"/>
        <w:rPr>
          <w:rFonts w:ascii="Times New Roman" w:hAnsi="Times New Roman" w:cs="Times New Roman"/>
          <w:szCs w:val="26"/>
        </w:rPr>
      </w:pPr>
      <w:r>
        <w:rPr>
          <w:rFonts w:ascii="Times New Roman" w:hAnsi="Times New Roman" w:cs="Times New Roman"/>
          <w:szCs w:val="26"/>
        </w:rPr>
        <w:tab/>
        <w:t>The Foundation may in furtherance of its objects:</w:t>
      </w:r>
    </w:p>
    <w:p w:rsidR="00CD364A" w:rsidRDefault="00CD364A" w:rsidP="00CD364A">
      <w:pPr>
        <w:pStyle w:val="Style"/>
        <w:tabs>
          <w:tab w:val="left" w:pos="540"/>
        </w:tabs>
        <w:spacing w:after="100" w:line="260" w:lineRule="exact"/>
        <w:ind w:left="990" w:hanging="990"/>
        <w:jc w:val="both"/>
        <w:rPr>
          <w:rFonts w:ascii="Times New Roman" w:hAnsi="Times New Roman" w:cs="Times New Roman"/>
          <w:szCs w:val="26"/>
        </w:rPr>
      </w:pPr>
      <w:r>
        <w:rPr>
          <w:rFonts w:ascii="Times New Roman" w:hAnsi="Times New Roman" w:cs="Times New Roman"/>
          <w:szCs w:val="26"/>
        </w:rPr>
        <w:tab/>
        <w:t>a)</w:t>
      </w:r>
      <w:r>
        <w:rPr>
          <w:rFonts w:ascii="Times New Roman" w:hAnsi="Times New Roman" w:cs="Times New Roman"/>
          <w:szCs w:val="26"/>
        </w:rPr>
        <w:tab/>
      </w:r>
      <w:proofErr w:type="gramStart"/>
      <w:r>
        <w:rPr>
          <w:rFonts w:ascii="Times New Roman" w:hAnsi="Times New Roman" w:cs="Times New Roman"/>
          <w:szCs w:val="26"/>
        </w:rPr>
        <w:t>invest</w:t>
      </w:r>
      <w:proofErr w:type="gramEnd"/>
      <w:r>
        <w:rPr>
          <w:rFonts w:ascii="Times New Roman" w:hAnsi="Times New Roman" w:cs="Times New Roman"/>
          <w:szCs w:val="26"/>
        </w:rPr>
        <w:t xml:space="preserve"> and deal with funds and monies of the Foundation;</w:t>
      </w:r>
    </w:p>
    <w:p w:rsidR="00CD364A" w:rsidRDefault="00CD364A" w:rsidP="00CD364A">
      <w:pPr>
        <w:pStyle w:val="Style"/>
        <w:tabs>
          <w:tab w:val="left" w:pos="540"/>
        </w:tabs>
        <w:spacing w:after="100" w:line="260" w:lineRule="exact"/>
        <w:ind w:left="990" w:hanging="990"/>
        <w:jc w:val="both"/>
        <w:rPr>
          <w:rFonts w:ascii="Times New Roman" w:hAnsi="Times New Roman" w:cs="Times New Roman"/>
          <w:szCs w:val="26"/>
        </w:rPr>
      </w:pPr>
      <w:r>
        <w:rPr>
          <w:rFonts w:ascii="Times New Roman" w:hAnsi="Times New Roman" w:cs="Times New Roman"/>
          <w:szCs w:val="26"/>
        </w:rPr>
        <w:tab/>
        <w:t>b)</w:t>
      </w:r>
      <w:r>
        <w:rPr>
          <w:rFonts w:ascii="Times New Roman" w:hAnsi="Times New Roman" w:cs="Times New Roman"/>
          <w:szCs w:val="26"/>
        </w:rPr>
        <w:tab/>
      </w:r>
      <w:proofErr w:type="gramStart"/>
      <w:r>
        <w:rPr>
          <w:rFonts w:ascii="Times New Roman" w:hAnsi="Times New Roman" w:cs="Times New Roman"/>
          <w:szCs w:val="26"/>
        </w:rPr>
        <w:t>borrow</w:t>
      </w:r>
      <w:proofErr w:type="gramEnd"/>
      <w:r>
        <w:rPr>
          <w:rFonts w:ascii="Times New Roman" w:hAnsi="Times New Roman" w:cs="Times New Roman"/>
          <w:szCs w:val="26"/>
        </w:rPr>
        <w:t xml:space="preserve"> and raise resources for the Foundation with or without any securities;</w:t>
      </w:r>
    </w:p>
    <w:p w:rsidR="00CD364A" w:rsidRDefault="00CD364A" w:rsidP="00CD364A">
      <w:pPr>
        <w:pStyle w:val="Style"/>
        <w:tabs>
          <w:tab w:val="left" w:pos="540"/>
        </w:tabs>
        <w:spacing w:after="100" w:line="260" w:lineRule="exact"/>
        <w:ind w:left="990" w:hanging="990"/>
        <w:jc w:val="both"/>
        <w:rPr>
          <w:rFonts w:ascii="Times New Roman" w:hAnsi="Times New Roman" w:cs="Times New Roman"/>
          <w:szCs w:val="26"/>
        </w:rPr>
      </w:pPr>
      <w:r>
        <w:rPr>
          <w:rFonts w:ascii="Times New Roman" w:hAnsi="Times New Roman" w:cs="Times New Roman"/>
          <w:szCs w:val="26"/>
        </w:rPr>
        <w:tab/>
        <w:t>c)</w:t>
      </w:r>
      <w:r>
        <w:rPr>
          <w:rFonts w:ascii="Times New Roman" w:hAnsi="Times New Roman" w:cs="Times New Roman"/>
          <w:szCs w:val="26"/>
        </w:rPr>
        <w:tab/>
      </w:r>
      <w:proofErr w:type="gramStart"/>
      <w:r>
        <w:rPr>
          <w:rFonts w:ascii="Times New Roman" w:hAnsi="Times New Roman" w:cs="Times New Roman"/>
          <w:szCs w:val="26"/>
        </w:rPr>
        <w:t>draw</w:t>
      </w:r>
      <w:proofErr w:type="gramEnd"/>
      <w:r>
        <w:rPr>
          <w:rFonts w:ascii="Times New Roman" w:hAnsi="Times New Roman" w:cs="Times New Roman"/>
          <w:szCs w:val="26"/>
        </w:rPr>
        <w:t xml:space="preserve">, accept, make, endorse, discount and deposit Government and other promissory notes, bills of exchange, </w:t>
      </w:r>
      <w:proofErr w:type="spellStart"/>
      <w:r>
        <w:rPr>
          <w:rFonts w:ascii="Times New Roman" w:hAnsi="Times New Roman" w:cs="Times New Roman"/>
          <w:szCs w:val="26"/>
        </w:rPr>
        <w:t>cheques</w:t>
      </w:r>
      <w:proofErr w:type="spellEnd"/>
      <w:r>
        <w:rPr>
          <w:rFonts w:ascii="Times New Roman" w:hAnsi="Times New Roman" w:cs="Times New Roman"/>
          <w:szCs w:val="26"/>
        </w:rPr>
        <w:t xml:space="preserve"> or other negotiable instruments;</w:t>
      </w:r>
    </w:p>
    <w:p w:rsidR="00CD364A" w:rsidRDefault="00CD364A" w:rsidP="00CD364A">
      <w:pPr>
        <w:pStyle w:val="Style"/>
        <w:tabs>
          <w:tab w:val="left" w:pos="540"/>
        </w:tabs>
        <w:spacing w:after="100" w:line="260" w:lineRule="exact"/>
        <w:ind w:left="990" w:hanging="990"/>
        <w:jc w:val="both"/>
        <w:rPr>
          <w:rFonts w:ascii="Times New Roman" w:hAnsi="Times New Roman" w:cs="Times New Roman"/>
          <w:szCs w:val="26"/>
        </w:rPr>
      </w:pPr>
      <w:r>
        <w:rPr>
          <w:rFonts w:ascii="Times New Roman" w:hAnsi="Times New Roman" w:cs="Times New Roman"/>
          <w:szCs w:val="26"/>
        </w:rPr>
        <w:tab/>
        <w:t>d)</w:t>
      </w:r>
      <w:r>
        <w:rPr>
          <w:rFonts w:ascii="Times New Roman" w:hAnsi="Times New Roman" w:cs="Times New Roman"/>
          <w:szCs w:val="26"/>
        </w:rPr>
        <w:tab/>
        <w:t>create reserve fund, sinking fund, insurance fund or any other special fund whether for depreciation, repairs, improvement, extension or maintenance of any of the properties or rights of the Foundation and/or for recouping wasting assets and for any other purposes for which the Foundation deems it expedient or proper to create or maintain any such fund or funds.</w:t>
      </w:r>
    </w:p>
    <w:p w:rsidR="00CD364A" w:rsidRDefault="00CD364A" w:rsidP="00CD364A">
      <w:pPr>
        <w:pStyle w:val="BodyText"/>
        <w:tabs>
          <w:tab w:val="clear" w:pos="360"/>
          <w:tab w:val="clear" w:pos="900"/>
          <w:tab w:val="left" w:pos="540"/>
        </w:tabs>
        <w:ind w:left="540"/>
        <w:rPr>
          <w:szCs w:val="24"/>
        </w:rPr>
      </w:pPr>
      <w:r>
        <w:rPr>
          <w:szCs w:val="24"/>
        </w:rPr>
        <w:t>All properties of the Foundation, movable and immovable, shall vest in the Foundation and shall be administered by the Managing Director, on behalf of the Foundation within the parameters set by the Foundation in its General Meeting or otherwise as directed by the Governing Body.</w:t>
      </w:r>
    </w:p>
    <w:p w:rsidR="00CD364A" w:rsidRDefault="00CD364A" w:rsidP="00CD364A">
      <w:pPr>
        <w:pStyle w:val="Style"/>
        <w:tabs>
          <w:tab w:val="left" w:pos="540"/>
        </w:tabs>
        <w:spacing w:after="80" w:line="234" w:lineRule="exact"/>
        <w:ind w:left="540"/>
        <w:jc w:val="both"/>
        <w:rPr>
          <w:rFonts w:ascii="Times New Roman" w:hAnsi="Times New Roman" w:cs="Times New Roman"/>
          <w:szCs w:val="26"/>
        </w:rPr>
      </w:pPr>
      <w:r>
        <w:rPr>
          <w:rFonts w:ascii="Times New Roman" w:hAnsi="Times New Roman" w:cs="Times New Roman"/>
          <w:szCs w:val="26"/>
        </w:rPr>
        <w:t>The Foundation may purchase, hire, lease, exchange or otherwise acquire property movable and immovable, tangible and intangible (including copyrights, patents and intellectual properties) which may be necessary or convenient for the purpose of the Foundation and construct, alter and/or maintain such buildings and works as may be necessary for carrying out the objects of the Foundation.</w:t>
      </w:r>
    </w:p>
    <w:p w:rsidR="00CD364A" w:rsidRDefault="00CD364A" w:rsidP="00CD364A">
      <w:pPr>
        <w:tabs>
          <w:tab w:val="left" w:pos="540"/>
        </w:tabs>
        <w:spacing w:after="80" w:line="234" w:lineRule="exact"/>
        <w:ind w:left="900" w:hanging="900"/>
        <w:jc w:val="both"/>
        <w:rPr>
          <w:color w:val="000000"/>
          <w:lang w:val="fr-FR"/>
        </w:rPr>
      </w:pPr>
      <w:r>
        <w:rPr>
          <w:color w:val="000000"/>
          <w:lang w:val="fr-FR"/>
        </w:rPr>
        <w:tab/>
        <w:t>(i)</w:t>
      </w:r>
      <w:r>
        <w:rPr>
          <w:color w:val="000000"/>
          <w:lang w:val="fr-FR"/>
        </w:rPr>
        <w:tab/>
        <w:t xml:space="preserve">The </w:t>
      </w:r>
      <w:proofErr w:type="spellStart"/>
      <w:r>
        <w:rPr>
          <w:color w:val="000000"/>
          <w:lang w:val="fr-FR"/>
        </w:rPr>
        <w:t>Foundation</w:t>
      </w:r>
      <w:proofErr w:type="spellEnd"/>
      <w:r>
        <w:rPr>
          <w:color w:val="000000"/>
          <w:lang w:val="fr-FR"/>
        </w:rPr>
        <w:t xml:space="preserve"> for </w:t>
      </w:r>
      <w:proofErr w:type="spellStart"/>
      <w:r>
        <w:rPr>
          <w:color w:val="000000"/>
          <w:lang w:val="fr-FR"/>
        </w:rPr>
        <w:t>its</w:t>
      </w:r>
      <w:proofErr w:type="spellEnd"/>
      <w:r>
        <w:rPr>
          <w:color w:val="000000"/>
          <w:lang w:val="fr-FR"/>
        </w:rPr>
        <w:t xml:space="preserve"> </w:t>
      </w:r>
      <w:proofErr w:type="spellStart"/>
      <w:r>
        <w:rPr>
          <w:color w:val="000000"/>
          <w:lang w:val="fr-FR"/>
        </w:rPr>
        <w:t>financial</w:t>
      </w:r>
      <w:proofErr w:type="spellEnd"/>
      <w:r>
        <w:rPr>
          <w:color w:val="000000"/>
          <w:lang w:val="fr-FR"/>
        </w:rPr>
        <w:t xml:space="preserve"> </w:t>
      </w:r>
      <w:proofErr w:type="spellStart"/>
      <w:r>
        <w:rPr>
          <w:color w:val="000000"/>
          <w:lang w:val="fr-FR"/>
        </w:rPr>
        <w:t>security</w:t>
      </w:r>
      <w:proofErr w:type="spellEnd"/>
      <w:r>
        <w:rPr>
          <w:color w:val="000000"/>
          <w:lang w:val="fr-FR"/>
        </w:rPr>
        <w:t xml:space="preserve"> </w:t>
      </w:r>
      <w:proofErr w:type="spellStart"/>
      <w:r>
        <w:rPr>
          <w:color w:val="000000"/>
          <w:lang w:val="fr-FR"/>
        </w:rPr>
        <w:t>may</w:t>
      </w:r>
      <w:proofErr w:type="spellEnd"/>
      <w:r>
        <w:rPr>
          <w:color w:val="000000"/>
          <w:lang w:val="fr-FR"/>
        </w:rPr>
        <w:t xml:space="preserve"> </w:t>
      </w:r>
      <w:proofErr w:type="spellStart"/>
      <w:r>
        <w:rPr>
          <w:color w:val="000000"/>
          <w:lang w:val="fr-FR"/>
        </w:rPr>
        <w:t>get</w:t>
      </w:r>
      <w:proofErr w:type="spellEnd"/>
      <w:r>
        <w:rPr>
          <w:color w:val="000000"/>
          <w:lang w:val="fr-FR"/>
        </w:rPr>
        <w:t xml:space="preserve"> the </w:t>
      </w:r>
      <w:proofErr w:type="spellStart"/>
      <w:r>
        <w:rPr>
          <w:color w:val="000000"/>
          <w:lang w:val="fr-FR"/>
        </w:rPr>
        <w:t>immovable</w:t>
      </w:r>
      <w:proofErr w:type="spellEnd"/>
      <w:r>
        <w:rPr>
          <w:color w:val="000000"/>
          <w:lang w:val="fr-FR"/>
        </w:rPr>
        <w:t xml:space="preserve"> </w:t>
      </w:r>
      <w:proofErr w:type="spellStart"/>
      <w:r>
        <w:rPr>
          <w:color w:val="000000"/>
          <w:lang w:val="fr-FR"/>
        </w:rPr>
        <w:t>property</w:t>
      </w:r>
      <w:proofErr w:type="spellEnd"/>
      <w:r>
        <w:rPr>
          <w:color w:val="000000"/>
          <w:lang w:val="fr-FR"/>
        </w:rPr>
        <w:t xml:space="preserve"> of </w:t>
      </w:r>
      <w:proofErr w:type="spellStart"/>
      <w:r>
        <w:rPr>
          <w:color w:val="000000"/>
          <w:lang w:val="fr-FR"/>
        </w:rPr>
        <w:t>its</w:t>
      </w:r>
      <w:proofErr w:type="spellEnd"/>
      <w:r>
        <w:rPr>
          <w:color w:val="000000"/>
          <w:lang w:val="fr-FR"/>
        </w:rPr>
        <w:t xml:space="preserve"> Partner-Organisations </w:t>
      </w:r>
      <w:proofErr w:type="spellStart"/>
      <w:r>
        <w:rPr>
          <w:color w:val="000000"/>
          <w:lang w:val="fr-FR"/>
        </w:rPr>
        <w:t>mortgaged</w:t>
      </w:r>
      <w:proofErr w:type="spellEnd"/>
      <w:r>
        <w:rPr>
          <w:color w:val="000000"/>
          <w:lang w:val="fr-FR"/>
        </w:rPr>
        <w:t xml:space="preserve"> in </w:t>
      </w:r>
      <w:proofErr w:type="spellStart"/>
      <w:r>
        <w:rPr>
          <w:color w:val="000000"/>
          <w:lang w:val="fr-FR"/>
        </w:rPr>
        <w:t>its</w:t>
      </w:r>
      <w:proofErr w:type="spellEnd"/>
      <w:r>
        <w:rPr>
          <w:color w:val="000000"/>
          <w:lang w:val="fr-FR"/>
        </w:rPr>
        <w:t xml:space="preserve"> </w:t>
      </w:r>
      <w:proofErr w:type="spellStart"/>
      <w:r>
        <w:rPr>
          <w:color w:val="000000"/>
          <w:lang w:val="fr-FR"/>
        </w:rPr>
        <w:t>name</w:t>
      </w:r>
      <w:proofErr w:type="spellEnd"/>
      <w:r>
        <w:rPr>
          <w:color w:val="000000"/>
          <w:lang w:val="fr-FR"/>
        </w:rPr>
        <w:t xml:space="preserve"> </w:t>
      </w:r>
      <w:proofErr w:type="spellStart"/>
      <w:r>
        <w:rPr>
          <w:color w:val="000000"/>
          <w:lang w:val="fr-FR"/>
        </w:rPr>
        <w:t>through</w:t>
      </w:r>
      <w:proofErr w:type="spellEnd"/>
      <w:r>
        <w:rPr>
          <w:color w:val="000000"/>
          <w:lang w:val="fr-FR"/>
        </w:rPr>
        <w:t xml:space="preserve"> </w:t>
      </w:r>
      <w:proofErr w:type="spellStart"/>
      <w:r>
        <w:rPr>
          <w:color w:val="000000"/>
          <w:lang w:val="fr-FR"/>
        </w:rPr>
        <w:t>registered</w:t>
      </w:r>
      <w:proofErr w:type="spellEnd"/>
      <w:r>
        <w:rPr>
          <w:color w:val="000000"/>
          <w:lang w:val="fr-FR"/>
        </w:rPr>
        <w:t xml:space="preserve"> </w:t>
      </w:r>
      <w:proofErr w:type="spellStart"/>
      <w:r>
        <w:rPr>
          <w:color w:val="000000"/>
          <w:lang w:val="fr-FR"/>
        </w:rPr>
        <w:t>mortgage</w:t>
      </w:r>
      <w:proofErr w:type="spellEnd"/>
      <w:r>
        <w:rPr>
          <w:color w:val="000000"/>
          <w:lang w:val="fr-FR"/>
        </w:rPr>
        <w:t xml:space="preserve"> </w:t>
      </w:r>
      <w:proofErr w:type="spellStart"/>
      <w:r>
        <w:rPr>
          <w:color w:val="000000"/>
          <w:lang w:val="fr-FR"/>
        </w:rPr>
        <w:t>deed</w:t>
      </w:r>
      <w:proofErr w:type="spellEnd"/>
      <w:r>
        <w:rPr>
          <w:color w:val="000000"/>
          <w:lang w:val="fr-FR"/>
        </w:rPr>
        <w:t xml:space="preserve"> and </w:t>
      </w:r>
      <w:proofErr w:type="spellStart"/>
      <w:r>
        <w:rPr>
          <w:color w:val="000000"/>
          <w:lang w:val="fr-FR"/>
        </w:rPr>
        <w:t>registered</w:t>
      </w:r>
      <w:proofErr w:type="spellEnd"/>
      <w:r>
        <w:rPr>
          <w:color w:val="000000"/>
          <w:lang w:val="fr-FR"/>
        </w:rPr>
        <w:t xml:space="preserve"> </w:t>
      </w:r>
      <w:r>
        <w:rPr>
          <w:color w:val="000000"/>
          <w:lang w:val="fr-FR"/>
        </w:rPr>
        <w:lastRenderedPageBreak/>
        <w:t xml:space="preserve">power of attorney </w:t>
      </w:r>
      <w:proofErr w:type="spellStart"/>
      <w:r>
        <w:rPr>
          <w:color w:val="000000"/>
          <w:lang w:val="fr-FR"/>
        </w:rPr>
        <w:t>should</w:t>
      </w:r>
      <w:proofErr w:type="spellEnd"/>
      <w:r>
        <w:rPr>
          <w:color w:val="000000"/>
          <w:lang w:val="fr-FR"/>
        </w:rPr>
        <w:t xml:space="preserve"> the situation </w:t>
      </w:r>
      <w:proofErr w:type="spellStart"/>
      <w:r>
        <w:rPr>
          <w:color w:val="000000"/>
          <w:lang w:val="fr-FR"/>
        </w:rPr>
        <w:t>so</w:t>
      </w:r>
      <w:proofErr w:type="spellEnd"/>
      <w:r>
        <w:rPr>
          <w:color w:val="000000"/>
          <w:lang w:val="fr-FR"/>
        </w:rPr>
        <w:t xml:space="preserve"> </w:t>
      </w:r>
      <w:proofErr w:type="spellStart"/>
      <w:r>
        <w:rPr>
          <w:color w:val="000000"/>
          <w:lang w:val="fr-FR"/>
        </w:rPr>
        <w:t>demand</w:t>
      </w:r>
      <w:proofErr w:type="spellEnd"/>
      <w:r>
        <w:rPr>
          <w:color w:val="000000"/>
          <w:lang w:val="fr-FR"/>
        </w:rPr>
        <w:t xml:space="preserve">, </w:t>
      </w:r>
      <w:proofErr w:type="spellStart"/>
      <w:r>
        <w:rPr>
          <w:color w:val="000000"/>
          <w:lang w:val="fr-FR"/>
        </w:rPr>
        <w:t>with</w:t>
      </w:r>
      <w:proofErr w:type="spellEnd"/>
      <w:r>
        <w:rPr>
          <w:color w:val="000000"/>
          <w:lang w:val="fr-FR"/>
        </w:rPr>
        <w:t xml:space="preserve"> the </w:t>
      </w:r>
      <w:proofErr w:type="spellStart"/>
      <w:r>
        <w:rPr>
          <w:color w:val="000000"/>
          <w:lang w:val="fr-FR"/>
        </w:rPr>
        <w:t>approval</w:t>
      </w:r>
      <w:proofErr w:type="spellEnd"/>
      <w:r>
        <w:rPr>
          <w:color w:val="000000"/>
          <w:lang w:val="fr-FR"/>
        </w:rPr>
        <w:t xml:space="preserve"> of </w:t>
      </w:r>
      <w:proofErr w:type="spellStart"/>
      <w:r>
        <w:rPr>
          <w:color w:val="000000"/>
          <w:lang w:val="fr-FR"/>
        </w:rPr>
        <w:t>its</w:t>
      </w:r>
      <w:proofErr w:type="spellEnd"/>
      <w:r>
        <w:rPr>
          <w:color w:val="000000"/>
          <w:lang w:val="fr-FR"/>
        </w:rPr>
        <w:t xml:space="preserve"> </w:t>
      </w:r>
      <w:proofErr w:type="spellStart"/>
      <w:r>
        <w:rPr>
          <w:color w:val="000000"/>
          <w:lang w:val="fr-FR"/>
        </w:rPr>
        <w:t>Governing</w:t>
      </w:r>
      <w:proofErr w:type="spellEnd"/>
      <w:r>
        <w:rPr>
          <w:color w:val="000000"/>
          <w:lang w:val="fr-FR"/>
        </w:rPr>
        <w:t xml:space="preserve"> Body.</w:t>
      </w:r>
    </w:p>
    <w:p w:rsidR="00CD364A" w:rsidRDefault="00CD364A" w:rsidP="00CD364A">
      <w:pPr>
        <w:tabs>
          <w:tab w:val="left" w:pos="540"/>
        </w:tabs>
        <w:spacing w:after="80" w:line="234" w:lineRule="exact"/>
        <w:ind w:left="900" w:hanging="900"/>
        <w:jc w:val="both"/>
        <w:rPr>
          <w:color w:val="000000"/>
          <w:lang w:val="fr-FR"/>
        </w:rPr>
      </w:pPr>
      <w:r>
        <w:rPr>
          <w:color w:val="000000"/>
          <w:lang w:val="fr-FR"/>
        </w:rPr>
        <w:tab/>
        <w:t>(ii)</w:t>
      </w:r>
      <w:r>
        <w:rPr>
          <w:color w:val="000000"/>
          <w:lang w:val="fr-FR"/>
        </w:rPr>
        <w:tab/>
        <w:t xml:space="preserve">The </w:t>
      </w:r>
      <w:proofErr w:type="spellStart"/>
      <w:r>
        <w:rPr>
          <w:color w:val="000000"/>
          <w:lang w:val="fr-FR"/>
        </w:rPr>
        <w:t>Foundation</w:t>
      </w:r>
      <w:proofErr w:type="spellEnd"/>
      <w:r>
        <w:rPr>
          <w:color w:val="000000"/>
          <w:lang w:val="fr-FR"/>
        </w:rPr>
        <w:t xml:space="preserve"> </w:t>
      </w:r>
      <w:proofErr w:type="spellStart"/>
      <w:r>
        <w:rPr>
          <w:color w:val="000000"/>
          <w:lang w:val="fr-FR"/>
        </w:rPr>
        <w:t>may</w:t>
      </w:r>
      <w:proofErr w:type="spellEnd"/>
      <w:r>
        <w:rPr>
          <w:color w:val="000000"/>
          <w:lang w:val="fr-FR"/>
        </w:rPr>
        <w:t xml:space="preserve"> </w:t>
      </w:r>
      <w:proofErr w:type="spellStart"/>
      <w:r>
        <w:rPr>
          <w:color w:val="000000"/>
          <w:lang w:val="fr-FR"/>
        </w:rPr>
        <w:t>realize</w:t>
      </w:r>
      <w:proofErr w:type="spellEnd"/>
      <w:r>
        <w:rPr>
          <w:color w:val="000000"/>
          <w:lang w:val="fr-FR"/>
        </w:rPr>
        <w:t xml:space="preserve"> </w:t>
      </w:r>
      <w:proofErr w:type="spellStart"/>
      <w:r>
        <w:rPr>
          <w:color w:val="000000"/>
          <w:lang w:val="fr-FR"/>
        </w:rPr>
        <w:t>its</w:t>
      </w:r>
      <w:proofErr w:type="spellEnd"/>
      <w:r>
        <w:rPr>
          <w:color w:val="000000"/>
          <w:lang w:val="fr-FR"/>
        </w:rPr>
        <w:t xml:space="preserve"> dues </w:t>
      </w:r>
      <w:proofErr w:type="spellStart"/>
      <w:r>
        <w:rPr>
          <w:color w:val="000000"/>
          <w:lang w:val="fr-FR"/>
        </w:rPr>
        <w:t>from</w:t>
      </w:r>
      <w:proofErr w:type="spellEnd"/>
      <w:r>
        <w:rPr>
          <w:color w:val="000000"/>
          <w:lang w:val="fr-FR"/>
        </w:rPr>
        <w:t xml:space="preserve"> </w:t>
      </w:r>
      <w:proofErr w:type="spellStart"/>
      <w:r>
        <w:rPr>
          <w:color w:val="000000"/>
          <w:lang w:val="fr-FR"/>
        </w:rPr>
        <w:t>its</w:t>
      </w:r>
      <w:proofErr w:type="spellEnd"/>
      <w:r>
        <w:rPr>
          <w:color w:val="000000"/>
          <w:lang w:val="fr-FR"/>
        </w:rPr>
        <w:t xml:space="preserve"> </w:t>
      </w:r>
      <w:proofErr w:type="spellStart"/>
      <w:r>
        <w:rPr>
          <w:color w:val="000000"/>
          <w:lang w:val="fr-FR"/>
        </w:rPr>
        <w:t>defaulting</w:t>
      </w:r>
      <w:proofErr w:type="spellEnd"/>
      <w:r>
        <w:rPr>
          <w:color w:val="000000"/>
          <w:lang w:val="fr-FR"/>
        </w:rPr>
        <w:t xml:space="preserve"> Partner-Organisations </w:t>
      </w:r>
      <w:proofErr w:type="spellStart"/>
      <w:r>
        <w:rPr>
          <w:color w:val="000000"/>
          <w:lang w:val="fr-FR"/>
        </w:rPr>
        <w:t>initiating</w:t>
      </w:r>
      <w:proofErr w:type="spellEnd"/>
      <w:r>
        <w:rPr>
          <w:color w:val="000000"/>
          <w:lang w:val="fr-FR"/>
        </w:rPr>
        <w:t xml:space="preserve"> case/suit </w:t>
      </w:r>
      <w:proofErr w:type="spellStart"/>
      <w:r>
        <w:rPr>
          <w:color w:val="000000"/>
          <w:lang w:val="fr-FR"/>
        </w:rPr>
        <w:t>through</w:t>
      </w:r>
      <w:proofErr w:type="spellEnd"/>
      <w:r>
        <w:rPr>
          <w:color w:val="000000"/>
          <w:lang w:val="fr-FR"/>
        </w:rPr>
        <w:t xml:space="preserve"> Public </w:t>
      </w:r>
      <w:proofErr w:type="spellStart"/>
      <w:r>
        <w:rPr>
          <w:color w:val="000000"/>
          <w:lang w:val="fr-FR"/>
        </w:rPr>
        <w:t>Demand</w:t>
      </w:r>
      <w:proofErr w:type="spellEnd"/>
      <w:r>
        <w:rPr>
          <w:color w:val="000000"/>
          <w:lang w:val="fr-FR"/>
        </w:rPr>
        <w:t xml:space="preserve"> </w:t>
      </w:r>
      <w:proofErr w:type="spellStart"/>
      <w:r>
        <w:rPr>
          <w:color w:val="000000"/>
          <w:lang w:val="fr-FR"/>
        </w:rPr>
        <w:t>Recovery</w:t>
      </w:r>
      <w:proofErr w:type="spellEnd"/>
      <w:r>
        <w:rPr>
          <w:color w:val="000000"/>
          <w:lang w:val="fr-FR"/>
        </w:rPr>
        <w:t xml:space="preserve"> </w:t>
      </w:r>
      <w:proofErr w:type="spellStart"/>
      <w:r>
        <w:rPr>
          <w:color w:val="000000"/>
          <w:lang w:val="fr-FR"/>
        </w:rPr>
        <w:t>Act</w:t>
      </w:r>
      <w:proofErr w:type="spellEnd"/>
      <w:r>
        <w:rPr>
          <w:color w:val="000000"/>
          <w:lang w:val="fr-FR"/>
        </w:rPr>
        <w:t xml:space="preserve"> (PDR </w:t>
      </w:r>
      <w:proofErr w:type="spellStart"/>
      <w:r>
        <w:rPr>
          <w:color w:val="000000"/>
          <w:lang w:val="fr-FR"/>
        </w:rPr>
        <w:t>Act</w:t>
      </w:r>
      <w:proofErr w:type="spellEnd"/>
      <w:r>
        <w:rPr>
          <w:color w:val="000000"/>
          <w:lang w:val="fr-FR"/>
        </w:rPr>
        <w:t xml:space="preserve">), 1913 as </w:t>
      </w:r>
      <w:proofErr w:type="spellStart"/>
      <w:r>
        <w:rPr>
          <w:color w:val="000000"/>
          <w:lang w:val="fr-FR"/>
        </w:rPr>
        <w:t>amended</w:t>
      </w:r>
      <w:proofErr w:type="spellEnd"/>
      <w:r>
        <w:rPr>
          <w:color w:val="000000"/>
          <w:lang w:val="fr-FR"/>
        </w:rPr>
        <w:t xml:space="preserve"> </w:t>
      </w:r>
      <w:proofErr w:type="spellStart"/>
      <w:r>
        <w:rPr>
          <w:color w:val="000000"/>
          <w:lang w:val="fr-FR"/>
        </w:rPr>
        <w:t>in</w:t>
      </w:r>
      <w:proofErr w:type="spellEnd"/>
      <w:r>
        <w:rPr>
          <w:color w:val="000000"/>
          <w:lang w:val="fr-FR"/>
        </w:rPr>
        <w:t xml:space="preserve"> 2001 and </w:t>
      </w:r>
      <w:proofErr w:type="spellStart"/>
      <w:r>
        <w:rPr>
          <w:color w:val="000000"/>
          <w:lang w:val="fr-FR"/>
        </w:rPr>
        <w:t>through</w:t>
      </w:r>
      <w:proofErr w:type="spellEnd"/>
      <w:r>
        <w:rPr>
          <w:color w:val="000000"/>
          <w:lang w:val="fr-FR"/>
        </w:rPr>
        <w:t xml:space="preserve"> </w:t>
      </w:r>
      <w:proofErr w:type="spellStart"/>
      <w:r>
        <w:rPr>
          <w:color w:val="000000"/>
          <w:lang w:val="fr-FR"/>
        </w:rPr>
        <w:t>other</w:t>
      </w:r>
      <w:proofErr w:type="spellEnd"/>
      <w:r>
        <w:rPr>
          <w:color w:val="000000"/>
          <w:lang w:val="fr-FR"/>
        </w:rPr>
        <w:t xml:space="preserve"> </w:t>
      </w:r>
      <w:proofErr w:type="spellStart"/>
      <w:r>
        <w:rPr>
          <w:color w:val="000000"/>
          <w:lang w:val="fr-FR"/>
        </w:rPr>
        <w:t>laws</w:t>
      </w:r>
      <w:proofErr w:type="spellEnd"/>
      <w:r>
        <w:rPr>
          <w:color w:val="000000"/>
          <w:lang w:val="fr-FR"/>
        </w:rPr>
        <w:t xml:space="preserve"> of the country.</w:t>
      </w:r>
    </w:p>
    <w:p w:rsidR="00CD364A" w:rsidRDefault="00CD364A" w:rsidP="00CD364A">
      <w:pPr>
        <w:pStyle w:val="Style"/>
        <w:tabs>
          <w:tab w:val="left" w:pos="540"/>
        </w:tabs>
        <w:spacing w:after="80" w:line="234" w:lineRule="exact"/>
        <w:ind w:left="540"/>
        <w:jc w:val="both"/>
        <w:rPr>
          <w:rFonts w:ascii="Times New Roman" w:hAnsi="Times New Roman" w:cs="Times New Roman"/>
          <w:szCs w:val="26"/>
        </w:rPr>
      </w:pPr>
      <w:r>
        <w:rPr>
          <w:rFonts w:ascii="Times New Roman" w:hAnsi="Times New Roman" w:cs="Times New Roman"/>
          <w:szCs w:val="26"/>
        </w:rPr>
        <w:t>The Foundation may sell, hire, lease, exchange or otherwise transfer or dispose of all or any property, movable or immovable of the Foundation, provided that for the transfer of immovable property approval of the General Body shall be required to be obtained.</w:t>
      </w:r>
    </w:p>
    <w:p w:rsidR="00CD364A" w:rsidRDefault="00CD364A" w:rsidP="00CD364A">
      <w:pPr>
        <w:pStyle w:val="Style"/>
        <w:tabs>
          <w:tab w:val="left" w:pos="540"/>
        </w:tabs>
        <w:spacing w:after="80" w:line="234" w:lineRule="exact"/>
        <w:ind w:left="540"/>
        <w:jc w:val="both"/>
        <w:rPr>
          <w:rFonts w:ascii="Times New Roman" w:hAnsi="Times New Roman" w:cs="Times New Roman"/>
          <w:szCs w:val="26"/>
        </w:rPr>
      </w:pPr>
    </w:p>
    <w:p w:rsidR="00CD364A" w:rsidRDefault="00CD364A" w:rsidP="00CD364A">
      <w:pPr>
        <w:pStyle w:val="Style"/>
        <w:tabs>
          <w:tab w:val="left" w:pos="540"/>
        </w:tabs>
        <w:spacing w:after="80" w:line="234" w:lineRule="exact"/>
        <w:jc w:val="both"/>
        <w:rPr>
          <w:rFonts w:ascii="Times New Roman" w:hAnsi="Times New Roman" w:cs="Times New Roman"/>
          <w:szCs w:val="26"/>
        </w:rPr>
      </w:pPr>
      <w:r>
        <w:rPr>
          <w:rFonts w:ascii="Times New Roman" w:hAnsi="Times New Roman" w:cs="Times New Roman"/>
          <w:szCs w:val="26"/>
        </w:rPr>
        <w:t>The income and property of the Foundation, however derived, shall be applied towards the promotion and furtherance of the objects of the Foundation as set forth in the Memorandum of Association hereto annexed. Save as otherwise provided elsewhere with respect to the Chairman, Managing Director and such other persons as may be named by the Foundation in general meeting, no portion of the income and property of the Foundation shall be paid or transferred directly or indirectly by way of dividend, or by way of profit to persons who at any time are or have been members of the Foundation or to any of them or to any person claiming through them or any of them provided that nothing herein shall prevent the payment in good faith of remuneration to any member or other person in return for services rendered to the Foundation or for travelling allowance, halting allowance and other similar charges.</w:t>
      </w:r>
    </w:p>
    <w:p w:rsidR="00CD364A" w:rsidRDefault="00CD364A" w:rsidP="00CD364A">
      <w:pPr>
        <w:pStyle w:val="Style"/>
        <w:tabs>
          <w:tab w:val="left" w:pos="540"/>
        </w:tabs>
        <w:spacing w:after="80" w:line="234" w:lineRule="exact"/>
        <w:jc w:val="both"/>
        <w:rPr>
          <w:rFonts w:ascii="Times New Roman" w:hAnsi="Times New Roman" w:cs="Times New Roman"/>
          <w:szCs w:val="26"/>
        </w:rPr>
      </w:pPr>
      <w:r>
        <w:rPr>
          <w:rFonts w:ascii="Times New Roman" w:hAnsi="Times New Roman" w:cs="Times New Roman"/>
          <w:szCs w:val="26"/>
        </w:rPr>
        <w:t xml:space="preserve">a) All funds shall be paid into the Foundation’s account with the bankers of the Foundation and shall not be withdrawn except by </w:t>
      </w:r>
      <w:proofErr w:type="spellStart"/>
      <w:r>
        <w:rPr>
          <w:rFonts w:ascii="Times New Roman" w:hAnsi="Times New Roman" w:cs="Times New Roman"/>
          <w:szCs w:val="26"/>
        </w:rPr>
        <w:t>cheque</w:t>
      </w:r>
      <w:proofErr w:type="spellEnd"/>
      <w:r>
        <w:rPr>
          <w:rFonts w:ascii="Times New Roman" w:hAnsi="Times New Roman" w:cs="Times New Roman"/>
          <w:szCs w:val="26"/>
        </w:rPr>
        <w:t xml:space="preserve"> signed by the Managing Director, or by such officer of the Foundation as may be duly empowered in this behalf by the Chairman, the Managing Director or the Governing Body.</w:t>
      </w:r>
    </w:p>
    <w:p w:rsidR="00CD364A" w:rsidRDefault="00CD364A" w:rsidP="00CD364A">
      <w:pPr>
        <w:pStyle w:val="Style"/>
        <w:tabs>
          <w:tab w:val="left" w:pos="540"/>
        </w:tabs>
        <w:spacing w:after="80" w:line="234" w:lineRule="exact"/>
        <w:jc w:val="both"/>
        <w:rPr>
          <w:rFonts w:ascii="Times New Roman" w:hAnsi="Times New Roman" w:cs="Times New Roman"/>
          <w:szCs w:val="26"/>
        </w:rPr>
      </w:pPr>
      <w:r>
        <w:rPr>
          <w:rFonts w:ascii="Times New Roman" w:hAnsi="Times New Roman" w:cs="Times New Roman"/>
          <w:szCs w:val="26"/>
        </w:rPr>
        <w:t xml:space="preserve">Unless otherwise </w:t>
      </w:r>
      <w:proofErr w:type="spellStart"/>
      <w:r>
        <w:rPr>
          <w:rFonts w:ascii="Times New Roman" w:hAnsi="Times New Roman" w:cs="Times New Roman"/>
          <w:szCs w:val="26"/>
        </w:rPr>
        <w:t>authorised</w:t>
      </w:r>
      <w:proofErr w:type="spellEnd"/>
      <w:r>
        <w:rPr>
          <w:rFonts w:ascii="Times New Roman" w:hAnsi="Times New Roman" w:cs="Times New Roman"/>
          <w:szCs w:val="26"/>
        </w:rPr>
        <w:t xml:space="preserve"> by the Governing Body, the Chairman or the Managing Director of the Foundation, no new account in the name of the Foundation shall be opened.</w:t>
      </w:r>
    </w:p>
    <w:p w:rsidR="00CD364A" w:rsidRPr="008E3C68" w:rsidRDefault="00CD364A" w:rsidP="003F10CE">
      <w:pPr>
        <w:tabs>
          <w:tab w:val="left" w:pos="0"/>
        </w:tabs>
        <w:spacing w:before="60" w:after="60"/>
        <w:ind w:left="720"/>
        <w:rPr>
          <w:rFonts w:ascii="MyriadPro-Light" w:hAnsi="MyriadPro-Light" w:cs="MyriadPro-Light"/>
          <w:color w:val="000000"/>
        </w:rPr>
      </w:pPr>
    </w:p>
    <w:sectPr w:rsidR="00CD364A" w:rsidRPr="008E3C68" w:rsidSect="006D7F2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F3" w:rsidRDefault="002429F3" w:rsidP="006D7F2B">
      <w:pPr>
        <w:spacing w:after="0" w:line="240" w:lineRule="auto"/>
      </w:pPr>
      <w:r>
        <w:separator/>
      </w:r>
    </w:p>
  </w:endnote>
  <w:endnote w:type="continuationSeparator" w:id="0">
    <w:p w:rsidR="002429F3" w:rsidRDefault="002429F3" w:rsidP="006D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F3" w:rsidRDefault="002429F3" w:rsidP="006D7F2B">
      <w:pPr>
        <w:spacing w:after="0" w:line="240" w:lineRule="auto"/>
      </w:pPr>
      <w:r>
        <w:separator/>
      </w:r>
    </w:p>
  </w:footnote>
  <w:footnote w:type="continuationSeparator" w:id="0">
    <w:p w:rsidR="002429F3" w:rsidRDefault="002429F3" w:rsidP="006D7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4D"/>
    <w:multiLevelType w:val="hybridMultilevel"/>
    <w:tmpl w:val="2B3AA9DE"/>
    <w:lvl w:ilvl="0" w:tplc="4434124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6B66"/>
    <w:multiLevelType w:val="hybridMultilevel"/>
    <w:tmpl w:val="0BAE6CB8"/>
    <w:lvl w:ilvl="0" w:tplc="C100C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C23C1"/>
    <w:multiLevelType w:val="multilevel"/>
    <w:tmpl w:val="8470647C"/>
    <w:lvl w:ilvl="0">
      <w:start w:val="1"/>
      <w:numFmt w:val="decimal"/>
      <w:lvlText w:val="%1."/>
      <w:lvlJc w:val="left"/>
      <w:pPr>
        <w:ind w:left="360" w:hanging="360"/>
      </w:pPr>
      <w:rPr>
        <w:rFonts w:hint="default"/>
        <w:b/>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6F4F07"/>
    <w:multiLevelType w:val="multilevel"/>
    <w:tmpl w:val="988EFF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3A363E"/>
    <w:multiLevelType w:val="multilevel"/>
    <w:tmpl w:val="DAA6CE60"/>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EC4FE3"/>
    <w:multiLevelType w:val="hybridMultilevel"/>
    <w:tmpl w:val="17F2FFA8"/>
    <w:lvl w:ilvl="0" w:tplc="C100C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AF5BC8"/>
    <w:multiLevelType w:val="hybridMultilevel"/>
    <w:tmpl w:val="A8762084"/>
    <w:lvl w:ilvl="0" w:tplc="C100C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457288"/>
    <w:multiLevelType w:val="hybridMultilevel"/>
    <w:tmpl w:val="4AD2D106"/>
    <w:lvl w:ilvl="0" w:tplc="C100C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03EA3"/>
    <w:multiLevelType w:val="hybridMultilevel"/>
    <w:tmpl w:val="3036FDAA"/>
    <w:lvl w:ilvl="0" w:tplc="C100C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D4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CF7B28"/>
    <w:multiLevelType w:val="hybridMultilevel"/>
    <w:tmpl w:val="2120124E"/>
    <w:lvl w:ilvl="0" w:tplc="7932D51C">
      <w:start w:val="1"/>
      <w:numFmt w:val="decimal"/>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C20BC"/>
    <w:multiLevelType w:val="multilevel"/>
    <w:tmpl w:val="825A4ADE"/>
    <w:lvl w:ilvl="0">
      <w:start w:val="3"/>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B37A60"/>
    <w:multiLevelType w:val="hybridMultilevel"/>
    <w:tmpl w:val="115A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D06397"/>
    <w:multiLevelType w:val="hybridMultilevel"/>
    <w:tmpl w:val="AE4E8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740875"/>
    <w:multiLevelType w:val="hybridMultilevel"/>
    <w:tmpl w:val="31C0DE64"/>
    <w:lvl w:ilvl="0" w:tplc="C100C7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E33E2F"/>
    <w:multiLevelType w:val="multilevel"/>
    <w:tmpl w:val="3F6EBEA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E44A3F"/>
    <w:multiLevelType w:val="hybridMultilevel"/>
    <w:tmpl w:val="70EA5286"/>
    <w:lvl w:ilvl="0" w:tplc="4434124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C5121"/>
    <w:multiLevelType w:val="hybridMultilevel"/>
    <w:tmpl w:val="5C3021DA"/>
    <w:lvl w:ilvl="0" w:tplc="C100C7C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nsid w:val="508A0E05"/>
    <w:multiLevelType w:val="multilevel"/>
    <w:tmpl w:val="082A8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DB2F68"/>
    <w:multiLevelType w:val="multilevel"/>
    <w:tmpl w:val="C62866C8"/>
    <w:lvl w:ilvl="0">
      <w:start w:val="9"/>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062F5C"/>
    <w:multiLevelType w:val="hybridMultilevel"/>
    <w:tmpl w:val="0FEE713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86E2CE7"/>
    <w:multiLevelType w:val="hybridMultilevel"/>
    <w:tmpl w:val="0FEAFF08"/>
    <w:lvl w:ilvl="0" w:tplc="8AC88306">
      <w:start w:val="1"/>
      <w:numFmt w:val="lowerLetter"/>
      <w:lvlText w:val="%1."/>
      <w:lvlJc w:val="left"/>
      <w:pPr>
        <w:ind w:left="1170" w:hanging="360"/>
      </w:pPr>
      <w:rPr>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0DB00CB"/>
    <w:multiLevelType w:val="hybridMultilevel"/>
    <w:tmpl w:val="200A8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B40707"/>
    <w:multiLevelType w:val="multilevel"/>
    <w:tmpl w:val="805E16D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2B51F1"/>
    <w:multiLevelType w:val="multilevel"/>
    <w:tmpl w:val="56E63C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41027A"/>
    <w:multiLevelType w:val="multilevel"/>
    <w:tmpl w:val="F32A42FE"/>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382109"/>
    <w:multiLevelType w:val="hybridMultilevel"/>
    <w:tmpl w:val="197E5EA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74220E06"/>
    <w:multiLevelType w:val="multilevel"/>
    <w:tmpl w:val="12E0A0E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1"/>
  </w:num>
  <w:num w:numId="3">
    <w:abstractNumId w:val="20"/>
  </w:num>
  <w:num w:numId="4">
    <w:abstractNumId w:val="26"/>
  </w:num>
  <w:num w:numId="5">
    <w:abstractNumId w:val="0"/>
  </w:num>
  <w:num w:numId="6">
    <w:abstractNumId w:val="16"/>
  </w:num>
  <w:num w:numId="7">
    <w:abstractNumId w:val="22"/>
  </w:num>
  <w:num w:numId="8">
    <w:abstractNumId w:val="14"/>
  </w:num>
  <w:num w:numId="9">
    <w:abstractNumId w:val="11"/>
  </w:num>
  <w:num w:numId="10">
    <w:abstractNumId w:val="27"/>
  </w:num>
  <w:num w:numId="11">
    <w:abstractNumId w:val="3"/>
  </w:num>
  <w:num w:numId="12">
    <w:abstractNumId w:val="4"/>
  </w:num>
  <w:num w:numId="13">
    <w:abstractNumId w:val="25"/>
  </w:num>
  <w:num w:numId="14">
    <w:abstractNumId w:val="23"/>
  </w:num>
  <w:num w:numId="15">
    <w:abstractNumId w:val="19"/>
  </w:num>
  <w:num w:numId="16">
    <w:abstractNumId w:val="13"/>
  </w:num>
  <w:num w:numId="17">
    <w:abstractNumId w:val="15"/>
  </w:num>
  <w:num w:numId="18">
    <w:abstractNumId w:val="24"/>
  </w:num>
  <w:num w:numId="19">
    <w:abstractNumId w:val="9"/>
  </w:num>
  <w:num w:numId="20">
    <w:abstractNumId w:val="18"/>
  </w:num>
  <w:num w:numId="21">
    <w:abstractNumId w:val="2"/>
  </w:num>
  <w:num w:numId="22">
    <w:abstractNumId w:val="10"/>
  </w:num>
  <w:num w:numId="23">
    <w:abstractNumId w:val="1"/>
  </w:num>
  <w:num w:numId="24">
    <w:abstractNumId w:val="8"/>
  </w:num>
  <w:num w:numId="25">
    <w:abstractNumId w:val="17"/>
  </w:num>
  <w:num w:numId="26">
    <w:abstractNumId w:val="6"/>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7F2B"/>
    <w:rsid w:val="00012BDA"/>
    <w:rsid w:val="0002514C"/>
    <w:rsid w:val="00032D51"/>
    <w:rsid w:val="000A347D"/>
    <w:rsid w:val="000A460D"/>
    <w:rsid w:val="000B2DF3"/>
    <w:rsid w:val="00105F93"/>
    <w:rsid w:val="001339E0"/>
    <w:rsid w:val="00143E9E"/>
    <w:rsid w:val="001D2AAC"/>
    <w:rsid w:val="00211185"/>
    <w:rsid w:val="00214828"/>
    <w:rsid w:val="002246A1"/>
    <w:rsid w:val="002246E2"/>
    <w:rsid w:val="002429F3"/>
    <w:rsid w:val="00250144"/>
    <w:rsid w:val="00287FE7"/>
    <w:rsid w:val="002A6BCC"/>
    <w:rsid w:val="002B515A"/>
    <w:rsid w:val="002F004C"/>
    <w:rsid w:val="002F1B16"/>
    <w:rsid w:val="002F5040"/>
    <w:rsid w:val="00307A8E"/>
    <w:rsid w:val="00353540"/>
    <w:rsid w:val="00375121"/>
    <w:rsid w:val="00394BCB"/>
    <w:rsid w:val="003D5234"/>
    <w:rsid w:val="003E61E7"/>
    <w:rsid w:val="003F10CE"/>
    <w:rsid w:val="0047201A"/>
    <w:rsid w:val="004A1EE1"/>
    <w:rsid w:val="004B24A8"/>
    <w:rsid w:val="004C406A"/>
    <w:rsid w:val="00504895"/>
    <w:rsid w:val="005062EC"/>
    <w:rsid w:val="005131DA"/>
    <w:rsid w:val="0055169D"/>
    <w:rsid w:val="00564D6C"/>
    <w:rsid w:val="00581B4B"/>
    <w:rsid w:val="00584E51"/>
    <w:rsid w:val="005E1B37"/>
    <w:rsid w:val="005E5D48"/>
    <w:rsid w:val="005F11F6"/>
    <w:rsid w:val="005F3EA4"/>
    <w:rsid w:val="00603946"/>
    <w:rsid w:val="00644D64"/>
    <w:rsid w:val="006B0E86"/>
    <w:rsid w:val="006C7087"/>
    <w:rsid w:val="006D7F2B"/>
    <w:rsid w:val="007015A7"/>
    <w:rsid w:val="00723406"/>
    <w:rsid w:val="00743BA4"/>
    <w:rsid w:val="007A6ED4"/>
    <w:rsid w:val="007E202D"/>
    <w:rsid w:val="00824C19"/>
    <w:rsid w:val="00834A0D"/>
    <w:rsid w:val="00841966"/>
    <w:rsid w:val="00865652"/>
    <w:rsid w:val="008868D4"/>
    <w:rsid w:val="008A04DC"/>
    <w:rsid w:val="008C56B4"/>
    <w:rsid w:val="008D2E74"/>
    <w:rsid w:val="008D6081"/>
    <w:rsid w:val="008E2952"/>
    <w:rsid w:val="008E3C68"/>
    <w:rsid w:val="009114C5"/>
    <w:rsid w:val="009A5776"/>
    <w:rsid w:val="009C52BC"/>
    <w:rsid w:val="009C77A6"/>
    <w:rsid w:val="009F3166"/>
    <w:rsid w:val="00A423C8"/>
    <w:rsid w:val="00A672FB"/>
    <w:rsid w:val="00AD778A"/>
    <w:rsid w:val="00AE3961"/>
    <w:rsid w:val="00AF274E"/>
    <w:rsid w:val="00B15E95"/>
    <w:rsid w:val="00B267D1"/>
    <w:rsid w:val="00B476F5"/>
    <w:rsid w:val="00B57D7A"/>
    <w:rsid w:val="00B62FA5"/>
    <w:rsid w:val="00BA104D"/>
    <w:rsid w:val="00C163FF"/>
    <w:rsid w:val="00CC5A5B"/>
    <w:rsid w:val="00CD1146"/>
    <w:rsid w:val="00CD364A"/>
    <w:rsid w:val="00CF58F4"/>
    <w:rsid w:val="00D1073F"/>
    <w:rsid w:val="00D1189A"/>
    <w:rsid w:val="00D12DC5"/>
    <w:rsid w:val="00D23630"/>
    <w:rsid w:val="00D64239"/>
    <w:rsid w:val="00D710F5"/>
    <w:rsid w:val="00D753F4"/>
    <w:rsid w:val="00DE301D"/>
    <w:rsid w:val="00E0178C"/>
    <w:rsid w:val="00E223E7"/>
    <w:rsid w:val="00E57BC5"/>
    <w:rsid w:val="00E86895"/>
    <w:rsid w:val="00E9504F"/>
    <w:rsid w:val="00F20981"/>
    <w:rsid w:val="00F27186"/>
    <w:rsid w:val="00F63886"/>
    <w:rsid w:val="00F65893"/>
    <w:rsid w:val="00F82881"/>
    <w:rsid w:val="00FB64FF"/>
    <w:rsid w:val="00FB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7F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F2B"/>
  </w:style>
  <w:style w:type="paragraph" w:styleId="Footer">
    <w:name w:val="footer"/>
    <w:basedOn w:val="Normal"/>
    <w:link w:val="FooterChar"/>
    <w:uiPriority w:val="99"/>
    <w:semiHidden/>
    <w:unhideWhenUsed/>
    <w:rsid w:val="006D7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F2B"/>
  </w:style>
  <w:style w:type="paragraph" w:styleId="ListParagraph">
    <w:name w:val="List Paragraph"/>
    <w:basedOn w:val="Normal"/>
    <w:uiPriority w:val="34"/>
    <w:qFormat/>
    <w:rsid w:val="009F3166"/>
    <w:pPr>
      <w:ind w:left="720"/>
      <w:contextualSpacing/>
    </w:pPr>
  </w:style>
  <w:style w:type="table" w:styleId="TableGrid">
    <w:name w:val="Table Grid"/>
    <w:basedOn w:val="TableNormal"/>
    <w:uiPriority w:val="59"/>
    <w:rsid w:val="002F004C"/>
    <w:pPr>
      <w:spacing w:after="0" w:line="240" w:lineRule="auto"/>
    </w:pPr>
    <w:rPr>
      <w:rFonts w:ascii="Arial" w:hAnsi="Arial"/>
      <w:sz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63886"/>
    <w:pPr>
      <w:widowControl w:val="0"/>
      <w:autoSpaceDE w:val="0"/>
      <w:autoSpaceDN w:val="0"/>
      <w:adjustRightInd w:val="0"/>
      <w:spacing w:after="0" w:line="240" w:lineRule="auto"/>
    </w:pPr>
    <w:rPr>
      <w:rFonts w:ascii="Arial" w:eastAsia="Times New Roman" w:hAnsi="Arial" w:cs="Arial"/>
      <w:sz w:val="24"/>
      <w:szCs w:val="24"/>
    </w:rPr>
  </w:style>
  <w:style w:type="paragraph" w:styleId="BodyText">
    <w:name w:val="Body Text"/>
    <w:basedOn w:val="Normal"/>
    <w:link w:val="BodyTextChar"/>
    <w:semiHidden/>
    <w:rsid w:val="00CD364A"/>
    <w:pPr>
      <w:tabs>
        <w:tab w:val="left" w:pos="360"/>
        <w:tab w:val="left" w:pos="900"/>
      </w:tabs>
      <w:spacing w:after="120" w:line="240" w:lineRule="auto"/>
      <w:jc w:val="both"/>
    </w:pPr>
    <w:rPr>
      <w:rFonts w:ascii="Times New Roman" w:eastAsia="Times New Roman" w:hAnsi="Times New Roman" w:cs="Times New Roman"/>
      <w:sz w:val="24"/>
      <w:szCs w:val="26"/>
    </w:rPr>
  </w:style>
  <w:style w:type="character" w:customStyle="1" w:styleId="BodyTextChar">
    <w:name w:val="Body Text Char"/>
    <w:basedOn w:val="DefaultParagraphFont"/>
    <w:link w:val="BodyText"/>
    <w:semiHidden/>
    <w:rsid w:val="00CD364A"/>
    <w:rPr>
      <w:rFonts w:ascii="Times New Roman" w:eastAsia="Times New Roman" w:hAnsi="Times New Roman" w:cs="Times New Roman"/>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1197-751D-4373-A75B-091C9321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22</cp:revision>
  <cp:lastPrinted>2015-10-18T05:35:00Z</cp:lastPrinted>
  <dcterms:created xsi:type="dcterms:W3CDTF">2015-10-18T03:46:00Z</dcterms:created>
  <dcterms:modified xsi:type="dcterms:W3CDTF">2015-10-19T23:15:00Z</dcterms:modified>
</cp:coreProperties>
</file>